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6D960463"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6F7B22">
        <w:rPr>
          <w:b/>
          <w:sz w:val="24"/>
          <w:szCs w:val="24"/>
        </w:rPr>
        <w:t>#</w:t>
      </w:r>
      <w:r w:rsidR="00E64D04">
        <w:rPr>
          <w:b/>
          <w:sz w:val="24"/>
          <w:szCs w:val="24"/>
        </w:rPr>
        <w:t>9</w:t>
      </w:r>
      <w:r w:rsidR="00D72EFA">
        <w:rPr>
          <w:b/>
          <w:sz w:val="24"/>
          <w:szCs w:val="24"/>
        </w:rPr>
        <w:t>8</w:t>
      </w:r>
      <w:r w:rsidRPr="0007631D">
        <w:rPr>
          <w:b/>
          <w:sz w:val="24"/>
          <w:szCs w:val="24"/>
        </w:rPr>
        <w:tab/>
      </w:r>
      <w:bookmarkStart w:id="0" w:name="_GoBack"/>
      <w:r w:rsidRPr="0007631D">
        <w:rPr>
          <w:b/>
          <w:sz w:val="24"/>
          <w:szCs w:val="24"/>
        </w:rPr>
        <w:t>R1-</w:t>
      </w:r>
      <w:r w:rsidR="004A0C72">
        <w:rPr>
          <w:b/>
          <w:sz w:val="24"/>
          <w:szCs w:val="24"/>
        </w:rPr>
        <w:t>19</w:t>
      </w:r>
      <w:r w:rsidR="001278D6">
        <w:rPr>
          <w:b/>
          <w:sz w:val="24"/>
          <w:szCs w:val="24"/>
        </w:rPr>
        <w:t>0928</w:t>
      </w:r>
      <w:r w:rsidR="00B21032">
        <w:rPr>
          <w:b/>
          <w:sz w:val="24"/>
          <w:szCs w:val="24"/>
        </w:rPr>
        <w:t>5</w:t>
      </w:r>
      <w:bookmarkEnd w:id="0"/>
    </w:p>
    <w:p w14:paraId="2FF5C0C2" w14:textId="2D9D9F28" w:rsidR="006F7B22" w:rsidRPr="0007631D" w:rsidRDefault="00D72EFA" w:rsidP="006F7B22">
      <w:pPr>
        <w:tabs>
          <w:tab w:val="center" w:pos="4536"/>
          <w:tab w:val="right" w:pos="9072"/>
        </w:tabs>
        <w:spacing w:after="0"/>
        <w:rPr>
          <w:rFonts w:eastAsia="MS Mincho"/>
          <w:b/>
          <w:bCs/>
          <w:sz w:val="24"/>
          <w:szCs w:val="24"/>
          <w:lang w:eastAsia="ja-JP"/>
        </w:rPr>
      </w:pPr>
      <w:r>
        <w:rPr>
          <w:b/>
          <w:bCs/>
          <w:sz w:val="24"/>
          <w:szCs w:val="24"/>
        </w:rPr>
        <w:t>August</w:t>
      </w:r>
      <w:r w:rsidR="006F7B22" w:rsidRPr="0007631D">
        <w:rPr>
          <w:b/>
          <w:bCs/>
          <w:sz w:val="24"/>
          <w:szCs w:val="24"/>
        </w:rPr>
        <w:t xml:space="preserve"> </w:t>
      </w:r>
      <w:r>
        <w:rPr>
          <w:b/>
          <w:bCs/>
          <w:sz w:val="24"/>
          <w:szCs w:val="24"/>
        </w:rPr>
        <w:t>26</w:t>
      </w:r>
      <w:r w:rsidR="006F7B22">
        <w:rPr>
          <w:b/>
          <w:bCs/>
          <w:sz w:val="24"/>
          <w:szCs w:val="24"/>
          <w:vertAlign w:val="superscript"/>
        </w:rPr>
        <w:t>th</w:t>
      </w:r>
      <w:r w:rsidR="006F7B22">
        <w:rPr>
          <w:b/>
          <w:bCs/>
          <w:sz w:val="24"/>
          <w:szCs w:val="24"/>
        </w:rPr>
        <w:t xml:space="preserve"> – </w:t>
      </w:r>
      <w:r>
        <w:rPr>
          <w:b/>
          <w:bCs/>
          <w:sz w:val="24"/>
          <w:szCs w:val="24"/>
        </w:rPr>
        <w:t>30</w:t>
      </w:r>
      <w:r w:rsidR="00E250A4" w:rsidRPr="00E250A4">
        <w:rPr>
          <w:b/>
          <w:bCs/>
          <w:sz w:val="24"/>
          <w:szCs w:val="24"/>
          <w:vertAlign w:val="superscript"/>
        </w:rPr>
        <w:t>th</w:t>
      </w:r>
      <w:r w:rsidR="006F7B22" w:rsidRPr="0007631D">
        <w:rPr>
          <w:b/>
          <w:bCs/>
          <w:sz w:val="24"/>
          <w:szCs w:val="24"/>
        </w:rPr>
        <w:t>, 201</w:t>
      </w:r>
      <w:r w:rsidR="006F7B22">
        <w:rPr>
          <w:rFonts w:eastAsia="MS Mincho"/>
          <w:b/>
          <w:bCs/>
          <w:sz w:val="24"/>
          <w:szCs w:val="24"/>
          <w:lang w:eastAsia="ja-JP"/>
        </w:rPr>
        <w:t>9</w:t>
      </w:r>
    </w:p>
    <w:p w14:paraId="28A9D42B" w14:textId="380F85A4" w:rsidR="00433B47" w:rsidRPr="0007631D" w:rsidRDefault="00D72EFA" w:rsidP="00433B47">
      <w:pPr>
        <w:spacing w:after="0"/>
        <w:jc w:val="both"/>
        <w:rPr>
          <w:b/>
          <w:sz w:val="24"/>
          <w:szCs w:val="24"/>
          <w:lang w:eastAsia="zh-CN"/>
        </w:rPr>
      </w:pPr>
      <w:r>
        <w:rPr>
          <w:b/>
          <w:sz w:val="24"/>
          <w:szCs w:val="24"/>
        </w:rPr>
        <w:t>Prague, Czech Republic</w:t>
      </w:r>
    </w:p>
    <w:p w14:paraId="0FF7EEB0" w14:textId="77777777" w:rsidR="00F15C93" w:rsidRPr="0007631D" w:rsidRDefault="00F15C93" w:rsidP="00F15C93">
      <w:pPr>
        <w:pStyle w:val="Footer"/>
        <w:jc w:val="both"/>
        <w:rPr>
          <w:rFonts w:ascii="Times New Roman" w:hAnsi="Times New Roman"/>
          <w:i w:val="0"/>
          <w:noProof w:val="0"/>
        </w:rPr>
      </w:pPr>
    </w:p>
    <w:p w14:paraId="358C9AA6" w14:textId="61E8FA20"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w:t>
      </w:r>
      <w:r w:rsidR="002807C4">
        <w:rPr>
          <w:b/>
          <w:sz w:val="24"/>
        </w:rPr>
        <w:t>13.1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B7614B2"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2807C4">
        <w:rPr>
          <w:sz w:val="24"/>
        </w:rPr>
        <w:t xml:space="preserve">Uplink Power Control Solutions for NR-NR Dual Connectivity </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C03587C" w14:textId="284A9229" w:rsidR="00DB3D84" w:rsidRDefault="00744CE6" w:rsidP="00DB3D84">
      <w:pPr>
        <w:jc w:val="both"/>
        <w:rPr>
          <w:rFonts w:asciiTheme="majorBidi" w:hAnsiTheme="majorBidi" w:cstheme="majorBidi"/>
          <w:bCs/>
          <w:iCs/>
        </w:rPr>
      </w:pPr>
      <w:r>
        <w:rPr>
          <w:rFonts w:asciiTheme="majorBidi" w:hAnsiTheme="majorBidi" w:cstheme="majorBidi"/>
          <w:bCs/>
          <w:iCs/>
        </w:rPr>
        <w:t>In RAN-P #81, the work item on multi-RAT dual-connectivity and carrier aggregation enhancements was approved. One of the objectives of this work item is to devise uplink power control schemes to support synchronous as well as asynchronous NR-NR dual connectivity (NN-DC):</w:t>
      </w:r>
    </w:p>
    <w:p w14:paraId="5C4B9D52" w14:textId="77777777" w:rsidR="00744CE6" w:rsidRPr="00744CE6" w:rsidRDefault="00744CE6" w:rsidP="008D366B">
      <w:pPr>
        <w:numPr>
          <w:ilvl w:val="0"/>
          <w:numId w:val="5"/>
        </w:numPr>
        <w:spacing w:after="0"/>
        <w:jc w:val="both"/>
        <w:rPr>
          <w:bCs/>
          <w:i/>
        </w:rPr>
      </w:pPr>
      <w:r w:rsidRPr="00744CE6">
        <w:rPr>
          <w:bCs/>
          <w:i/>
        </w:rPr>
        <w:t>Support of asynchronous and synchronous NR-NR Dual Connectivity [RAN1, RAN2, RAN4]</w:t>
      </w:r>
    </w:p>
    <w:p w14:paraId="5BDF2B47" w14:textId="77777777" w:rsidR="00744CE6" w:rsidRPr="00744CE6" w:rsidRDefault="00744CE6" w:rsidP="008D366B">
      <w:pPr>
        <w:numPr>
          <w:ilvl w:val="1"/>
          <w:numId w:val="5"/>
        </w:numPr>
        <w:spacing w:after="0"/>
        <w:jc w:val="both"/>
        <w:rPr>
          <w:bCs/>
          <w:i/>
        </w:rPr>
      </w:pPr>
      <w:r w:rsidRPr="00744CE6">
        <w:rPr>
          <w:bCs/>
          <w:i/>
          <w:highlight w:val="yellow"/>
        </w:rPr>
        <w:t>UE power control</w:t>
      </w:r>
      <w:r w:rsidRPr="00744CE6">
        <w:rPr>
          <w:bCs/>
          <w:i/>
        </w:rPr>
        <w:t xml:space="preserve"> [RAN1]</w:t>
      </w:r>
    </w:p>
    <w:p w14:paraId="1B8C307E" w14:textId="77777777" w:rsidR="00744CE6" w:rsidRPr="00744CE6" w:rsidRDefault="00744CE6" w:rsidP="008D366B">
      <w:pPr>
        <w:numPr>
          <w:ilvl w:val="1"/>
          <w:numId w:val="5"/>
        </w:numPr>
        <w:spacing w:after="0"/>
        <w:jc w:val="both"/>
        <w:rPr>
          <w:bCs/>
          <w:i/>
        </w:rPr>
      </w:pPr>
      <w:r w:rsidRPr="00744CE6">
        <w:rPr>
          <w:bCs/>
          <w:i/>
        </w:rPr>
        <w:t xml:space="preserve">RRC </w:t>
      </w:r>
      <w:proofErr w:type="spellStart"/>
      <w:r w:rsidRPr="00744CE6">
        <w:rPr>
          <w:bCs/>
          <w:i/>
        </w:rPr>
        <w:t>signalling</w:t>
      </w:r>
      <w:proofErr w:type="spellEnd"/>
      <w:r w:rsidRPr="00744CE6">
        <w:rPr>
          <w:bCs/>
          <w:i/>
        </w:rPr>
        <w:t xml:space="preserve"> to support of enhanced NR-NR DC [RAN2]</w:t>
      </w:r>
    </w:p>
    <w:p w14:paraId="6C2D0240" w14:textId="77777777" w:rsidR="00744CE6" w:rsidRPr="00744CE6" w:rsidRDefault="00744CE6" w:rsidP="008D366B">
      <w:pPr>
        <w:numPr>
          <w:ilvl w:val="1"/>
          <w:numId w:val="5"/>
        </w:numPr>
        <w:spacing w:after="0"/>
        <w:jc w:val="both"/>
        <w:rPr>
          <w:bCs/>
          <w:i/>
        </w:rPr>
      </w:pPr>
      <w:r w:rsidRPr="00744CE6">
        <w:rPr>
          <w:bCs/>
          <w:i/>
        </w:rPr>
        <w:t>Core requirements to support enhanced NR-NR DC [RAN4]</w:t>
      </w:r>
    </w:p>
    <w:p w14:paraId="4FD5E8AA" w14:textId="1D9A5A47" w:rsidR="00744CE6" w:rsidRDefault="00744CE6" w:rsidP="00E43F64">
      <w:pPr>
        <w:spacing w:after="0"/>
        <w:ind w:left="360"/>
        <w:jc w:val="both"/>
        <w:rPr>
          <w:bCs/>
          <w:i/>
        </w:rPr>
      </w:pPr>
      <w:r w:rsidRPr="00744CE6">
        <w:rPr>
          <w:bCs/>
          <w:i/>
        </w:rPr>
        <w:t xml:space="preserve">Note: Synchronous DC enhancements in this WID considers only cases not covered in Rel-15 exception sheet for NR WI </w:t>
      </w:r>
      <w:proofErr w:type="spellStart"/>
      <w:r w:rsidRPr="00744CE6">
        <w:rPr>
          <w:bCs/>
          <w:i/>
        </w:rPr>
        <w:t>NR_newRAT</w:t>
      </w:r>
      <w:proofErr w:type="spellEnd"/>
      <w:r w:rsidRPr="00744CE6">
        <w:rPr>
          <w:bCs/>
          <w:i/>
        </w:rPr>
        <w:t xml:space="preserve">-Core. </w:t>
      </w:r>
    </w:p>
    <w:p w14:paraId="45862AC3" w14:textId="77777777" w:rsidR="00E43F64" w:rsidRPr="00E43F64" w:rsidRDefault="00E43F64" w:rsidP="00E43F64">
      <w:pPr>
        <w:spacing w:after="0"/>
        <w:ind w:left="360"/>
        <w:jc w:val="both"/>
        <w:rPr>
          <w:bCs/>
          <w:i/>
        </w:rPr>
      </w:pPr>
    </w:p>
    <w:p w14:paraId="4978E6D7" w14:textId="4517C404" w:rsidR="00744CE6" w:rsidRDefault="00E46411" w:rsidP="00DB3D84">
      <w:pPr>
        <w:jc w:val="both"/>
        <w:rPr>
          <w:rFonts w:asciiTheme="majorBidi" w:hAnsiTheme="majorBidi" w:cstheme="majorBidi"/>
          <w:bCs/>
          <w:iCs/>
        </w:rPr>
      </w:pPr>
      <w:r>
        <w:rPr>
          <w:rFonts w:asciiTheme="majorBidi" w:hAnsiTheme="majorBidi" w:cstheme="majorBidi"/>
          <w:bCs/>
          <w:iCs/>
        </w:rPr>
        <w:t xml:space="preserve">In </w:t>
      </w:r>
      <w:r w:rsidR="00E43F64">
        <w:rPr>
          <w:rFonts w:asciiTheme="majorBidi" w:hAnsiTheme="majorBidi" w:cstheme="majorBidi"/>
          <w:bCs/>
          <w:iCs/>
        </w:rPr>
        <w:t xml:space="preserve">this section, we first briefly summarize the CA and DC power control schemes adopted in </w:t>
      </w:r>
      <w:r w:rsidR="000A32AA">
        <w:rPr>
          <w:rFonts w:asciiTheme="majorBidi" w:hAnsiTheme="majorBidi" w:cstheme="majorBidi"/>
          <w:bCs/>
          <w:iCs/>
        </w:rPr>
        <w:t xml:space="preserve">NR </w:t>
      </w:r>
      <w:r w:rsidR="00E43F64">
        <w:rPr>
          <w:rFonts w:asciiTheme="majorBidi" w:hAnsiTheme="majorBidi" w:cstheme="majorBidi"/>
          <w:bCs/>
          <w:iCs/>
        </w:rPr>
        <w:t xml:space="preserve">Rel. </w:t>
      </w:r>
      <w:proofErr w:type="gramStart"/>
      <w:r w:rsidR="00E43F64">
        <w:rPr>
          <w:rFonts w:asciiTheme="majorBidi" w:hAnsiTheme="majorBidi" w:cstheme="majorBidi"/>
          <w:bCs/>
          <w:iCs/>
        </w:rPr>
        <w:t>15, and</w:t>
      </w:r>
      <w:proofErr w:type="gramEnd"/>
      <w:r w:rsidR="00E43F64">
        <w:rPr>
          <w:rFonts w:asciiTheme="majorBidi" w:hAnsiTheme="majorBidi" w:cstheme="majorBidi"/>
          <w:bCs/>
          <w:iCs/>
        </w:rPr>
        <w:t xml:space="preserve"> mention their core differences with the scenario of interest in Rel. 16</w:t>
      </w:r>
      <w:r w:rsidR="000A32AA">
        <w:rPr>
          <w:rFonts w:asciiTheme="majorBidi" w:hAnsiTheme="majorBidi" w:cstheme="majorBidi"/>
          <w:bCs/>
          <w:iCs/>
        </w:rPr>
        <w:t xml:space="preserve"> dual connectivity</w:t>
      </w:r>
      <w:r w:rsidR="00E43F64">
        <w:rPr>
          <w:rFonts w:asciiTheme="majorBidi" w:hAnsiTheme="majorBidi" w:cstheme="majorBidi"/>
          <w:bCs/>
          <w:iCs/>
        </w:rPr>
        <w:t>. The next section then presents one viable solution for managing uplink power control for NN-DC in Rel. 16 NR.</w:t>
      </w:r>
    </w:p>
    <w:p w14:paraId="1B08BD39" w14:textId="0862B16F" w:rsidR="00744CE6" w:rsidRDefault="00E43F64" w:rsidP="00DB3D84">
      <w:pPr>
        <w:jc w:val="both"/>
        <w:rPr>
          <w:rFonts w:asciiTheme="majorBidi" w:hAnsiTheme="majorBidi" w:cstheme="majorBidi"/>
          <w:bCs/>
          <w:iCs/>
        </w:rPr>
      </w:pPr>
      <w:r>
        <w:rPr>
          <w:rFonts w:asciiTheme="majorBidi" w:hAnsiTheme="majorBidi" w:cstheme="majorBidi"/>
          <w:bCs/>
          <w:iCs/>
        </w:rPr>
        <w:t>In Rel. 15 NR, power control schemes for the following deployment scenarios were introduced:</w:t>
      </w:r>
    </w:p>
    <w:p w14:paraId="4D3D9A7C" w14:textId="5F2E3B88" w:rsidR="0079386A" w:rsidRPr="007E0316" w:rsidRDefault="0079386A"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NN-DC with one cell group fully in FR1 and one cell group fully in FR2</w:t>
      </w:r>
    </w:p>
    <w:p w14:paraId="72390F5A" w14:textId="6F7038B1" w:rsidR="00E43F64" w:rsidRPr="007E0316" w:rsidRDefault="00E43F64"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NR carrier aggregation</w:t>
      </w:r>
    </w:p>
    <w:p w14:paraId="21D9E31D" w14:textId="6D395B44" w:rsidR="00E43F64" w:rsidRPr="007E0316" w:rsidRDefault="00E43F64" w:rsidP="008D366B">
      <w:pPr>
        <w:pStyle w:val="ListParagraph"/>
        <w:numPr>
          <w:ilvl w:val="0"/>
          <w:numId w:val="6"/>
        </w:numPr>
        <w:jc w:val="both"/>
        <w:rPr>
          <w:rFonts w:asciiTheme="majorBidi" w:hAnsiTheme="majorBidi" w:cstheme="majorBidi"/>
          <w:bCs/>
          <w:iCs/>
          <w:sz w:val="20"/>
        </w:rPr>
      </w:pPr>
      <w:r w:rsidRPr="007E0316">
        <w:rPr>
          <w:rFonts w:asciiTheme="majorBidi" w:hAnsiTheme="majorBidi" w:cstheme="majorBidi"/>
          <w:bCs/>
          <w:iCs/>
          <w:sz w:val="20"/>
        </w:rPr>
        <w:t xml:space="preserve">EUTRA and NR dual connectivity </w:t>
      </w:r>
      <w:r w:rsidR="00C73C06" w:rsidRPr="007E0316">
        <w:rPr>
          <w:rFonts w:asciiTheme="majorBidi" w:hAnsiTheme="majorBidi" w:cstheme="majorBidi"/>
          <w:bCs/>
          <w:iCs/>
          <w:sz w:val="20"/>
        </w:rPr>
        <w:t>(EN/NE-</w:t>
      </w:r>
      <w:r w:rsidR="00685FC0" w:rsidRPr="007E0316">
        <w:rPr>
          <w:rFonts w:asciiTheme="majorBidi" w:hAnsiTheme="majorBidi" w:cstheme="majorBidi"/>
          <w:bCs/>
          <w:iCs/>
          <w:sz w:val="20"/>
        </w:rPr>
        <w:t>DC)</w:t>
      </w:r>
      <w:r w:rsidRPr="007E0316">
        <w:rPr>
          <w:rFonts w:asciiTheme="majorBidi" w:hAnsiTheme="majorBidi" w:cstheme="majorBidi"/>
          <w:bCs/>
          <w:iCs/>
          <w:sz w:val="20"/>
        </w:rPr>
        <w:t xml:space="preserve"> </w:t>
      </w:r>
    </w:p>
    <w:p w14:paraId="62ADCFD0" w14:textId="55AFEE29" w:rsidR="00E43F64" w:rsidRDefault="00E43F64" w:rsidP="00214148">
      <w:pPr>
        <w:jc w:val="both"/>
        <w:rPr>
          <w:rFonts w:asciiTheme="majorBidi" w:hAnsiTheme="majorBidi" w:cstheme="majorBidi"/>
          <w:bCs/>
          <w:iCs/>
        </w:rPr>
      </w:pPr>
    </w:p>
    <w:p w14:paraId="59506E4A" w14:textId="0002C3FB" w:rsidR="00214148" w:rsidRDefault="00214148" w:rsidP="00214148">
      <w:pPr>
        <w:jc w:val="both"/>
        <w:rPr>
          <w:rFonts w:asciiTheme="majorBidi" w:hAnsiTheme="majorBidi" w:cstheme="majorBidi"/>
          <w:bCs/>
          <w:iCs/>
        </w:rPr>
      </w:pPr>
      <w:r>
        <w:rPr>
          <w:rFonts w:asciiTheme="majorBidi" w:hAnsiTheme="majorBidi" w:cstheme="majorBidi"/>
          <w:bCs/>
          <w:iCs/>
        </w:rPr>
        <w:t>As mentioned, the Rel. 15 NN-DC deployment considers the case where all the serving cells of one cell group are fully in FR1, while all the serving cells of the other cell group are fully contained in FR2. Since there is no maximum power limit defined across the cells in FR1 and FR2,</w:t>
      </w:r>
      <w:r w:rsidR="00444B5E">
        <w:rPr>
          <w:rFonts w:asciiTheme="majorBidi" w:hAnsiTheme="majorBidi" w:cstheme="majorBidi"/>
          <w:bCs/>
          <w:iCs/>
        </w:rPr>
        <w:t xml:space="preserve"> the UE performs uplink power control independently across the two cell groups. However, the scenario of interest for </w:t>
      </w:r>
      <w:r w:rsidR="00A423FC">
        <w:rPr>
          <w:rFonts w:asciiTheme="majorBidi" w:hAnsiTheme="majorBidi" w:cstheme="majorBidi"/>
          <w:bCs/>
          <w:iCs/>
        </w:rPr>
        <w:t xml:space="preserve">NR Rel. 16 </w:t>
      </w:r>
      <w:r w:rsidR="00444B5E">
        <w:rPr>
          <w:rFonts w:asciiTheme="majorBidi" w:hAnsiTheme="majorBidi" w:cstheme="majorBidi"/>
          <w:bCs/>
          <w:iCs/>
        </w:rPr>
        <w:t xml:space="preserve">includes the deployments, where both cell groups contain </w:t>
      </w:r>
      <w:r w:rsidR="00A423FC">
        <w:rPr>
          <w:rFonts w:asciiTheme="majorBidi" w:hAnsiTheme="majorBidi" w:cstheme="majorBidi"/>
          <w:bCs/>
          <w:iCs/>
        </w:rPr>
        <w:t xml:space="preserve">only </w:t>
      </w:r>
      <w:r w:rsidR="00444B5E">
        <w:rPr>
          <w:rFonts w:asciiTheme="majorBidi" w:hAnsiTheme="majorBidi" w:cstheme="majorBidi"/>
          <w:bCs/>
          <w:iCs/>
        </w:rPr>
        <w:t>serving cells</w:t>
      </w:r>
      <w:r w:rsidR="00A423FC">
        <w:rPr>
          <w:rFonts w:asciiTheme="majorBidi" w:hAnsiTheme="majorBidi" w:cstheme="majorBidi"/>
          <w:bCs/>
          <w:iCs/>
        </w:rPr>
        <w:t xml:space="preserve"> in FR1. </w:t>
      </w:r>
      <w:r w:rsidR="00A423FC" w:rsidRPr="007A33CA">
        <w:rPr>
          <w:rFonts w:asciiTheme="majorBidi" w:hAnsiTheme="majorBidi" w:cstheme="majorBidi"/>
          <w:bCs/>
          <w:iCs/>
        </w:rPr>
        <w:t>Hence, joint maximum power limitation may be considered.</w:t>
      </w:r>
      <w:r w:rsidR="00444B5E">
        <w:rPr>
          <w:rFonts w:asciiTheme="majorBidi" w:hAnsiTheme="majorBidi" w:cstheme="majorBidi"/>
          <w:bCs/>
          <w:iCs/>
        </w:rPr>
        <w:t xml:space="preserve"> </w:t>
      </w:r>
      <w:r>
        <w:rPr>
          <w:rFonts w:asciiTheme="majorBidi" w:hAnsiTheme="majorBidi" w:cstheme="majorBidi"/>
          <w:bCs/>
          <w:iCs/>
        </w:rPr>
        <w:t xml:space="preserve"> </w:t>
      </w:r>
    </w:p>
    <w:p w14:paraId="086C7A49" w14:textId="493722C5" w:rsidR="004D6DFF" w:rsidRDefault="0036619F" w:rsidP="00214148">
      <w:pPr>
        <w:jc w:val="both"/>
        <w:rPr>
          <w:rFonts w:asciiTheme="majorBidi" w:hAnsiTheme="majorBidi" w:cstheme="majorBidi"/>
          <w:bCs/>
          <w:iCs/>
        </w:rPr>
      </w:pPr>
      <w:r>
        <w:rPr>
          <w:rFonts w:asciiTheme="majorBidi" w:hAnsiTheme="majorBidi" w:cstheme="majorBidi"/>
          <w:bCs/>
          <w:iCs/>
        </w:rPr>
        <w:t xml:space="preserve">For NR-CA, the uplink power control is decided on a per occasion basis. At </w:t>
      </w:r>
      <w:r w:rsidR="004D6DFF">
        <w:rPr>
          <w:rFonts w:asciiTheme="majorBidi" w:hAnsiTheme="majorBidi" w:cstheme="majorBidi"/>
          <w:bCs/>
          <w:iCs/>
        </w:rPr>
        <w:t>each occasion, the UE considers</w:t>
      </w:r>
      <w:r>
        <w:rPr>
          <w:rFonts w:asciiTheme="majorBidi" w:hAnsiTheme="majorBidi" w:cstheme="majorBidi"/>
          <w:bCs/>
          <w:iCs/>
        </w:rPr>
        <w:t xml:space="preserve"> the overlapping channel</w:t>
      </w:r>
      <w:r w:rsidR="004D6DFF">
        <w:rPr>
          <w:rFonts w:asciiTheme="majorBidi" w:hAnsiTheme="majorBidi" w:cstheme="majorBidi"/>
          <w:bCs/>
          <w:iCs/>
        </w:rPr>
        <w:t>s</w:t>
      </w:r>
      <w:r>
        <w:rPr>
          <w:rFonts w:asciiTheme="majorBidi" w:hAnsiTheme="majorBidi" w:cstheme="majorBidi"/>
          <w:bCs/>
          <w:iCs/>
        </w:rPr>
        <w:t>, their requested power</w:t>
      </w:r>
      <w:r w:rsidR="004D6DFF">
        <w:rPr>
          <w:rFonts w:asciiTheme="majorBidi" w:hAnsiTheme="majorBidi" w:cstheme="majorBidi"/>
          <w:bCs/>
          <w:iCs/>
        </w:rPr>
        <w:t>s</w:t>
      </w:r>
      <w:r>
        <w:rPr>
          <w:rFonts w:asciiTheme="majorBidi" w:hAnsiTheme="majorBidi" w:cstheme="majorBidi"/>
          <w:bCs/>
          <w:iCs/>
        </w:rPr>
        <w:t xml:space="preserve"> and their priorities. If the sum power across all serving cells is beyond the maximum allowed power, the uplink power for some channels</w:t>
      </w:r>
      <w:r w:rsidR="007A33CA">
        <w:rPr>
          <w:rFonts w:asciiTheme="majorBidi" w:hAnsiTheme="majorBidi" w:cstheme="majorBidi"/>
          <w:bCs/>
          <w:iCs/>
        </w:rPr>
        <w:t>, based on the priority,</w:t>
      </w:r>
      <w:r>
        <w:rPr>
          <w:rFonts w:asciiTheme="majorBidi" w:hAnsiTheme="majorBidi" w:cstheme="majorBidi"/>
          <w:bCs/>
          <w:iCs/>
        </w:rPr>
        <w:t xml:space="preserve"> should be scaled down. Hence, some uplink channels may experience phase discontinuity. However, it should be noted that whether the channels </w:t>
      </w:r>
      <w:proofErr w:type="gramStart"/>
      <w:r>
        <w:rPr>
          <w:rFonts w:asciiTheme="majorBidi" w:hAnsiTheme="majorBidi" w:cstheme="majorBidi"/>
          <w:bCs/>
          <w:iCs/>
        </w:rPr>
        <w:t>overlap</w:t>
      </w:r>
      <w:proofErr w:type="gramEnd"/>
      <w:r>
        <w:rPr>
          <w:rFonts w:asciiTheme="majorBidi" w:hAnsiTheme="majorBidi" w:cstheme="majorBidi"/>
          <w:bCs/>
          <w:iCs/>
        </w:rPr>
        <w:t xml:space="preserve"> or experience phase discontinuity is controlled by the </w:t>
      </w:r>
      <w:proofErr w:type="spellStart"/>
      <w:r>
        <w:rPr>
          <w:rFonts w:asciiTheme="majorBidi" w:hAnsiTheme="majorBidi" w:cstheme="majorBidi"/>
          <w:bCs/>
          <w:iCs/>
        </w:rPr>
        <w:t>gNB</w:t>
      </w:r>
      <w:proofErr w:type="spellEnd"/>
      <w:r>
        <w:rPr>
          <w:rFonts w:asciiTheme="majorBidi" w:hAnsiTheme="majorBidi" w:cstheme="majorBidi"/>
          <w:bCs/>
          <w:iCs/>
        </w:rPr>
        <w:t xml:space="preserve">; all serving cells are managed by a single </w:t>
      </w:r>
      <w:proofErr w:type="spellStart"/>
      <w:r>
        <w:rPr>
          <w:rFonts w:asciiTheme="majorBidi" w:hAnsiTheme="majorBidi" w:cstheme="majorBidi"/>
          <w:bCs/>
          <w:iCs/>
        </w:rPr>
        <w:t>gNB</w:t>
      </w:r>
      <w:proofErr w:type="spellEnd"/>
      <w:r>
        <w:rPr>
          <w:rFonts w:asciiTheme="majorBidi" w:hAnsiTheme="majorBidi" w:cstheme="majorBidi"/>
          <w:bCs/>
          <w:iCs/>
        </w:rPr>
        <w:t xml:space="preserve">. On the contrary, in a dual-connectivity deployment, the </w:t>
      </w:r>
      <w:proofErr w:type="spellStart"/>
      <w:r>
        <w:rPr>
          <w:rFonts w:asciiTheme="majorBidi" w:hAnsiTheme="majorBidi" w:cstheme="majorBidi"/>
          <w:bCs/>
          <w:iCs/>
        </w:rPr>
        <w:t>gNBs</w:t>
      </w:r>
      <w:proofErr w:type="spellEnd"/>
      <w:r>
        <w:rPr>
          <w:rFonts w:asciiTheme="majorBidi" w:hAnsiTheme="majorBidi" w:cstheme="majorBidi"/>
          <w:bCs/>
          <w:iCs/>
        </w:rPr>
        <w:t xml:space="preserve"> may not be aware of each other’s </w:t>
      </w:r>
      <w:r w:rsidR="004D6DFF">
        <w:rPr>
          <w:rFonts w:asciiTheme="majorBidi" w:hAnsiTheme="majorBidi" w:cstheme="majorBidi"/>
          <w:bCs/>
          <w:iCs/>
        </w:rPr>
        <w:t xml:space="preserve">scheduling </w:t>
      </w:r>
      <w:r>
        <w:rPr>
          <w:rFonts w:asciiTheme="majorBidi" w:hAnsiTheme="majorBidi" w:cstheme="majorBidi"/>
          <w:bCs/>
          <w:iCs/>
        </w:rPr>
        <w:t xml:space="preserve">decisions; hence, uplink channels might be interrupted even without the associated </w:t>
      </w:r>
      <w:proofErr w:type="spellStart"/>
      <w:r>
        <w:rPr>
          <w:rFonts w:asciiTheme="majorBidi" w:hAnsiTheme="majorBidi" w:cstheme="majorBidi"/>
          <w:bCs/>
          <w:iCs/>
        </w:rPr>
        <w:t>gNB</w:t>
      </w:r>
      <w:proofErr w:type="spellEnd"/>
      <w:r>
        <w:rPr>
          <w:rFonts w:asciiTheme="majorBidi" w:hAnsiTheme="majorBidi" w:cstheme="majorBidi"/>
          <w:bCs/>
          <w:iCs/>
        </w:rPr>
        <w:t xml:space="preserve"> knows about it </w:t>
      </w:r>
      <w:r w:rsidR="004D6DFF">
        <w:rPr>
          <w:rFonts w:asciiTheme="majorBidi" w:hAnsiTheme="majorBidi" w:cstheme="majorBidi"/>
          <w:bCs/>
          <w:iCs/>
        </w:rPr>
        <w:t>or has an option to avoid it. Taking this key difference between CA and DC into account,</w:t>
      </w:r>
      <w:r>
        <w:rPr>
          <w:rFonts w:asciiTheme="majorBidi" w:hAnsiTheme="majorBidi" w:cstheme="majorBidi"/>
          <w:bCs/>
          <w:iCs/>
        </w:rPr>
        <w:t xml:space="preserve"> the uplink power control for Rel. 16 NN-DC shou</w:t>
      </w:r>
      <w:r w:rsidR="004D6DFF">
        <w:rPr>
          <w:rFonts w:asciiTheme="majorBidi" w:hAnsiTheme="majorBidi" w:cstheme="majorBidi"/>
          <w:bCs/>
          <w:iCs/>
        </w:rPr>
        <w:t xml:space="preserve">ld guarantee that the uplink transmissions for each cell group </w:t>
      </w:r>
      <w:proofErr w:type="gramStart"/>
      <w:r w:rsidR="004D6DFF">
        <w:rPr>
          <w:rFonts w:asciiTheme="majorBidi" w:hAnsiTheme="majorBidi" w:cstheme="majorBidi"/>
          <w:bCs/>
          <w:iCs/>
        </w:rPr>
        <w:t xml:space="preserve">will not be interrupted due to a transmission in another cell group </w:t>
      </w:r>
      <w:r w:rsidR="001D6F63">
        <w:rPr>
          <w:rFonts w:asciiTheme="majorBidi" w:hAnsiTheme="majorBidi" w:cstheme="majorBidi"/>
          <w:bCs/>
          <w:iCs/>
        </w:rPr>
        <w:t>at all times</w:t>
      </w:r>
      <w:proofErr w:type="gramEnd"/>
      <w:r w:rsidR="004D6DFF">
        <w:rPr>
          <w:rFonts w:asciiTheme="majorBidi" w:hAnsiTheme="majorBidi" w:cstheme="majorBidi"/>
          <w:bCs/>
          <w:iCs/>
        </w:rPr>
        <w:t>.</w:t>
      </w:r>
    </w:p>
    <w:p w14:paraId="2CAC5B28" w14:textId="4F94C4B8" w:rsidR="004D6DFF" w:rsidRDefault="004D6DFF" w:rsidP="00214148">
      <w:pPr>
        <w:jc w:val="both"/>
        <w:rPr>
          <w:rFonts w:asciiTheme="majorBidi" w:hAnsiTheme="majorBidi" w:cstheme="majorBidi"/>
          <w:bCs/>
          <w:iCs/>
        </w:rPr>
      </w:pPr>
      <w:r>
        <w:rPr>
          <w:rFonts w:asciiTheme="majorBidi" w:hAnsiTheme="majorBidi" w:cstheme="majorBidi"/>
          <w:bCs/>
          <w:iCs/>
        </w:rPr>
        <w:t xml:space="preserve">Finally, the uplink power control </w:t>
      </w:r>
      <w:r w:rsidR="004A2A0F">
        <w:rPr>
          <w:rFonts w:asciiTheme="majorBidi" w:hAnsiTheme="majorBidi" w:cstheme="majorBidi"/>
          <w:bCs/>
          <w:iCs/>
        </w:rPr>
        <w:t xml:space="preserve">schemes </w:t>
      </w:r>
      <w:r>
        <w:rPr>
          <w:rFonts w:asciiTheme="majorBidi" w:hAnsiTheme="majorBidi" w:cstheme="majorBidi"/>
          <w:bCs/>
          <w:iCs/>
        </w:rPr>
        <w:t xml:space="preserve">devised for EN-DC and NE-DC in NR Rel. 15 </w:t>
      </w:r>
      <w:r w:rsidR="004A2A0F">
        <w:rPr>
          <w:rFonts w:asciiTheme="majorBidi" w:hAnsiTheme="majorBidi" w:cstheme="majorBidi"/>
          <w:bCs/>
          <w:iCs/>
        </w:rPr>
        <w:t xml:space="preserve">rely on a fact that LTE has a longer processing delay than NR. Hence, </w:t>
      </w:r>
      <w:r w:rsidR="00E42E71">
        <w:rPr>
          <w:rFonts w:asciiTheme="majorBidi" w:hAnsiTheme="majorBidi" w:cstheme="majorBidi"/>
          <w:bCs/>
          <w:iCs/>
        </w:rPr>
        <w:t>for EN-DC (where LTE has a higher priority), the NR transmission power should be controlled to meet the max. al</w:t>
      </w:r>
      <w:r w:rsidR="00AF0C50">
        <w:rPr>
          <w:rFonts w:asciiTheme="majorBidi" w:hAnsiTheme="majorBidi" w:cstheme="majorBidi"/>
          <w:bCs/>
          <w:iCs/>
        </w:rPr>
        <w:t>lowed power limit when colliding</w:t>
      </w:r>
      <w:r w:rsidR="00E42E71">
        <w:rPr>
          <w:rFonts w:asciiTheme="majorBidi" w:hAnsiTheme="majorBidi" w:cstheme="majorBidi"/>
          <w:bCs/>
          <w:iCs/>
        </w:rPr>
        <w:t xml:space="preserve"> with an LTE channel. For NE-DC (where NR has a higher priority), the LTE maximum allowed power is controlled semi-statically</w:t>
      </w:r>
      <w:r w:rsidR="003008A2">
        <w:rPr>
          <w:rFonts w:asciiTheme="majorBidi" w:hAnsiTheme="majorBidi" w:cstheme="majorBidi"/>
          <w:bCs/>
          <w:iCs/>
        </w:rPr>
        <w:t xml:space="preserve"> depending on whether </w:t>
      </w:r>
      <w:r w:rsidR="0045722A">
        <w:rPr>
          <w:rFonts w:asciiTheme="majorBidi" w:hAnsiTheme="majorBidi" w:cstheme="majorBidi"/>
          <w:bCs/>
          <w:iCs/>
        </w:rPr>
        <w:t xml:space="preserve">collision can potentially take place or not; however, when collision happens and the required power across the serving cells is larger than the joint power </w:t>
      </w:r>
      <w:r w:rsidR="0045722A">
        <w:rPr>
          <w:rFonts w:asciiTheme="majorBidi" w:hAnsiTheme="majorBidi" w:cstheme="majorBidi"/>
          <w:bCs/>
          <w:iCs/>
        </w:rPr>
        <w:lastRenderedPageBreak/>
        <w:t>constraint, the power of the NR channels should be scaled down.</w:t>
      </w:r>
      <w:r w:rsidR="00E42E71">
        <w:rPr>
          <w:rFonts w:asciiTheme="majorBidi" w:hAnsiTheme="majorBidi" w:cstheme="majorBidi"/>
          <w:bCs/>
          <w:iCs/>
        </w:rPr>
        <w:t xml:space="preserve"> </w:t>
      </w:r>
      <w:r w:rsidR="007562DE">
        <w:rPr>
          <w:rFonts w:asciiTheme="majorBidi" w:hAnsiTheme="majorBidi" w:cstheme="majorBidi"/>
          <w:bCs/>
          <w:iCs/>
        </w:rPr>
        <w:t xml:space="preserve">In Rel. 16 NN-DC, </w:t>
      </w:r>
      <w:r w:rsidR="0045722A">
        <w:rPr>
          <w:rFonts w:asciiTheme="majorBidi" w:hAnsiTheme="majorBidi" w:cstheme="majorBidi"/>
          <w:bCs/>
          <w:iCs/>
        </w:rPr>
        <w:t>on the other hand</w:t>
      </w:r>
      <w:r w:rsidR="007562DE">
        <w:rPr>
          <w:rFonts w:asciiTheme="majorBidi" w:hAnsiTheme="majorBidi" w:cstheme="majorBidi"/>
          <w:bCs/>
          <w:iCs/>
        </w:rPr>
        <w:t xml:space="preserve">, </w:t>
      </w:r>
      <w:r w:rsidR="00B279FF">
        <w:rPr>
          <w:rFonts w:asciiTheme="majorBidi" w:hAnsiTheme="majorBidi" w:cstheme="majorBidi"/>
          <w:bCs/>
          <w:iCs/>
        </w:rPr>
        <w:t xml:space="preserve">the UE has </w:t>
      </w:r>
      <w:r w:rsidR="001D6F63">
        <w:rPr>
          <w:rFonts w:asciiTheme="majorBidi" w:hAnsiTheme="majorBidi" w:cstheme="majorBidi"/>
          <w:bCs/>
          <w:iCs/>
        </w:rPr>
        <w:t xml:space="preserve">a </w:t>
      </w:r>
      <w:r w:rsidR="00B279FF">
        <w:rPr>
          <w:rFonts w:asciiTheme="majorBidi" w:hAnsiTheme="majorBidi" w:cstheme="majorBidi"/>
          <w:bCs/>
          <w:iCs/>
        </w:rPr>
        <w:t>comparable processing latency on both cell grou</w:t>
      </w:r>
      <w:r w:rsidR="0045722A">
        <w:rPr>
          <w:rFonts w:asciiTheme="majorBidi" w:hAnsiTheme="majorBidi" w:cstheme="majorBidi"/>
          <w:bCs/>
          <w:iCs/>
        </w:rPr>
        <w:t>ps</w:t>
      </w:r>
      <w:r w:rsidR="001D6F63">
        <w:rPr>
          <w:rFonts w:asciiTheme="majorBidi" w:hAnsiTheme="majorBidi" w:cstheme="majorBidi"/>
          <w:bCs/>
          <w:iCs/>
        </w:rPr>
        <w:t xml:space="preserve"> in case both cell groups are used for uplink data transmissions</w:t>
      </w:r>
      <w:r w:rsidR="0045722A">
        <w:rPr>
          <w:rFonts w:asciiTheme="majorBidi" w:hAnsiTheme="majorBidi" w:cstheme="majorBidi"/>
          <w:bCs/>
          <w:iCs/>
        </w:rPr>
        <w:t xml:space="preserve">. </w:t>
      </w:r>
      <w:r w:rsidR="001D6F63">
        <w:rPr>
          <w:rFonts w:asciiTheme="majorBidi" w:hAnsiTheme="majorBidi" w:cstheme="majorBidi"/>
          <w:bCs/>
          <w:iCs/>
        </w:rPr>
        <w:t>In such a case</w:t>
      </w:r>
      <w:r w:rsidR="00B279FF">
        <w:rPr>
          <w:rFonts w:asciiTheme="majorBidi" w:hAnsiTheme="majorBidi" w:cstheme="majorBidi"/>
          <w:bCs/>
          <w:iCs/>
        </w:rPr>
        <w:t>, it is not possible to as</w:t>
      </w:r>
      <w:r w:rsidR="0054016B">
        <w:rPr>
          <w:rFonts w:asciiTheme="majorBidi" w:hAnsiTheme="majorBidi" w:cstheme="majorBidi"/>
          <w:bCs/>
          <w:iCs/>
        </w:rPr>
        <w:t>sume that uplink transmissions i</w:t>
      </w:r>
      <w:r w:rsidR="00B279FF">
        <w:rPr>
          <w:rFonts w:asciiTheme="majorBidi" w:hAnsiTheme="majorBidi" w:cstheme="majorBidi"/>
          <w:bCs/>
          <w:iCs/>
        </w:rPr>
        <w:t xml:space="preserve">n one cell group can always be dynamically power controlled to ensure meeting the maximum power limitation. </w:t>
      </w:r>
    </w:p>
    <w:p w14:paraId="49A243CF" w14:textId="6830F291" w:rsidR="00842C60" w:rsidRDefault="002D1FCB" w:rsidP="00214148">
      <w:pPr>
        <w:jc w:val="both"/>
        <w:rPr>
          <w:rFonts w:asciiTheme="majorBidi" w:hAnsiTheme="majorBidi" w:cstheme="majorBidi"/>
          <w:bCs/>
          <w:iCs/>
        </w:rPr>
      </w:pPr>
      <w:r>
        <w:rPr>
          <w:rFonts w:asciiTheme="majorBidi" w:hAnsiTheme="majorBidi" w:cstheme="majorBidi"/>
          <w:bCs/>
          <w:iCs/>
        </w:rPr>
        <w:t>Table 1 belo</w:t>
      </w:r>
      <w:r w:rsidR="0054016B">
        <w:rPr>
          <w:rFonts w:asciiTheme="majorBidi" w:hAnsiTheme="majorBidi" w:cstheme="majorBidi"/>
          <w:bCs/>
          <w:iCs/>
        </w:rPr>
        <w:t>w summarizes</w:t>
      </w:r>
      <w:r w:rsidR="0045722A">
        <w:rPr>
          <w:rFonts w:asciiTheme="majorBidi" w:hAnsiTheme="majorBidi" w:cstheme="majorBidi"/>
          <w:bCs/>
          <w:iCs/>
        </w:rPr>
        <w:t xml:space="preserve"> </w:t>
      </w:r>
      <w:r>
        <w:rPr>
          <w:rFonts w:asciiTheme="majorBidi" w:hAnsiTheme="majorBidi" w:cstheme="majorBidi"/>
          <w:bCs/>
          <w:iCs/>
        </w:rPr>
        <w:t>the power contro</w:t>
      </w:r>
      <w:r w:rsidR="0045722A">
        <w:rPr>
          <w:rFonts w:asciiTheme="majorBidi" w:hAnsiTheme="majorBidi" w:cstheme="majorBidi"/>
          <w:bCs/>
          <w:iCs/>
        </w:rPr>
        <w:t>l schemes of Rel. 15 CA/DC and their differences with the framework needed for NN-DC under NR Rel. 16.</w:t>
      </w:r>
    </w:p>
    <w:p w14:paraId="2459B65B" w14:textId="66C3D0EA" w:rsidR="00842C60" w:rsidRDefault="00842C60" w:rsidP="00842C60">
      <w:pPr>
        <w:pStyle w:val="Caption"/>
        <w:keepNext/>
        <w:jc w:val="center"/>
      </w:pPr>
      <w:r>
        <w:t xml:space="preserve">Table </w:t>
      </w:r>
      <w:r w:rsidR="00345392">
        <w:rPr>
          <w:noProof/>
        </w:rPr>
        <w:fldChar w:fldCharType="begin"/>
      </w:r>
      <w:r w:rsidR="00345392">
        <w:rPr>
          <w:noProof/>
        </w:rPr>
        <w:instrText xml:space="preserve"> SEQ Table \* ARABIC </w:instrText>
      </w:r>
      <w:r w:rsidR="00345392">
        <w:rPr>
          <w:noProof/>
        </w:rPr>
        <w:fldChar w:fldCharType="separate"/>
      </w:r>
      <w:r w:rsidR="00046296">
        <w:rPr>
          <w:noProof/>
        </w:rPr>
        <w:t>1</w:t>
      </w:r>
      <w:r w:rsidR="00345392">
        <w:rPr>
          <w:noProof/>
        </w:rPr>
        <w:fldChar w:fldCharType="end"/>
      </w:r>
      <w:r>
        <w:t>: Summary of the NR Rel. 15 CA/DC power control schemes and key differences with Rel. 16 NN-DC.</w:t>
      </w:r>
    </w:p>
    <w:tbl>
      <w:tblPr>
        <w:tblStyle w:val="TableGrid"/>
        <w:tblW w:w="0" w:type="auto"/>
        <w:tblLook w:val="04A0" w:firstRow="1" w:lastRow="0" w:firstColumn="1" w:lastColumn="0" w:noHBand="0" w:noVBand="1"/>
      </w:tblPr>
      <w:tblGrid>
        <w:gridCol w:w="2065"/>
        <w:gridCol w:w="4576"/>
        <w:gridCol w:w="3321"/>
      </w:tblGrid>
      <w:tr w:rsidR="0045722A" w14:paraId="3FDA20EB" w14:textId="77777777" w:rsidTr="00C23864">
        <w:tc>
          <w:tcPr>
            <w:tcW w:w="2065" w:type="dxa"/>
            <w:shd w:val="clear" w:color="auto" w:fill="E2EFD9" w:themeFill="accent6" w:themeFillTint="33"/>
          </w:tcPr>
          <w:p w14:paraId="4261A7C3" w14:textId="77777777" w:rsidR="0045722A" w:rsidRPr="0045722A" w:rsidRDefault="0045722A" w:rsidP="0045722A">
            <w:pPr>
              <w:jc w:val="center"/>
              <w:rPr>
                <w:rFonts w:asciiTheme="majorBidi" w:hAnsiTheme="majorBidi" w:cstheme="majorBidi"/>
                <w:bCs/>
                <w:iCs/>
              </w:rPr>
            </w:pPr>
            <w:r w:rsidRPr="0045722A">
              <w:rPr>
                <w:rFonts w:asciiTheme="majorBidi" w:hAnsiTheme="majorBidi" w:cstheme="majorBidi"/>
                <w:b/>
                <w:bCs/>
                <w:iCs/>
              </w:rPr>
              <w:t>Power control for …</w:t>
            </w:r>
          </w:p>
          <w:p w14:paraId="24FB9A35" w14:textId="77777777" w:rsidR="0045722A" w:rsidRDefault="0045722A" w:rsidP="0045722A">
            <w:pPr>
              <w:jc w:val="center"/>
              <w:rPr>
                <w:rFonts w:asciiTheme="majorBidi" w:hAnsiTheme="majorBidi" w:cstheme="majorBidi"/>
                <w:bCs/>
                <w:iCs/>
              </w:rPr>
            </w:pPr>
          </w:p>
        </w:tc>
        <w:tc>
          <w:tcPr>
            <w:tcW w:w="4576" w:type="dxa"/>
            <w:shd w:val="clear" w:color="auto" w:fill="E2EFD9" w:themeFill="accent6" w:themeFillTint="33"/>
          </w:tcPr>
          <w:p w14:paraId="63579694" w14:textId="3B4BFB27"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NR Rel. 15 Procedure</w:t>
            </w:r>
          </w:p>
        </w:tc>
        <w:tc>
          <w:tcPr>
            <w:tcW w:w="3321" w:type="dxa"/>
            <w:shd w:val="clear" w:color="auto" w:fill="E2EFD9" w:themeFill="accent6" w:themeFillTint="33"/>
          </w:tcPr>
          <w:p w14:paraId="323895DE" w14:textId="3B81CDAC"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Differences with Rel. 16 NN-DC</w:t>
            </w:r>
          </w:p>
        </w:tc>
      </w:tr>
      <w:tr w:rsidR="0045722A" w14:paraId="66D63032" w14:textId="77777777" w:rsidTr="00C23864">
        <w:tc>
          <w:tcPr>
            <w:tcW w:w="2065" w:type="dxa"/>
            <w:shd w:val="clear" w:color="auto" w:fill="FBE4D5" w:themeFill="accent2" w:themeFillTint="33"/>
          </w:tcPr>
          <w:p w14:paraId="2E2DA4D9" w14:textId="404B5129"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NR-CA</w:t>
            </w:r>
          </w:p>
        </w:tc>
        <w:tc>
          <w:tcPr>
            <w:tcW w:w="4576" w:type="dxa"/>
          </w:tcPr>
          <w:p w14:paraId="2819EBA1" w14:textId="232795C1" w:rsidR="0045722A" w:rsidRDefault="0045722A" w:rsidP="00214148">
            <w:pPr>
              <w:rPr>
                <w:rFonts w:asciiTheme="majorBidi" w:hAnsiTheme="majorBidi" w:cstheme="majorBidi"/>
                <w:bCs/>
                <w:iCs/>
              </w:rPr>
            </w:pPr>
            <w:r w:rsidRPr="0045722A">
              <w:rPr>
                <w:rFonts w:asciiTheme="majorBidi" w:hAnsiTheme="majorBidi" w:cstheme="majorBidi"/>
                <w:bCs/>
                <w:iCs/>
              </w:rPr>
              <w:t xml:space="preserve">At each occasion, the UE scales down its power based on the priority rule to ensure </w:t>
            </w:r>
            <w:proofErr w:type="spellStart"/>
            <w:r w:rsidRPr="0045722A">
              <w:rPr>
                <w:rFonts w:asciiTheme="majorBidi" w:hAnsiTheme="majorBidi" w:cstheme="majorBidi"/>
                <w:bCs/>
                <w:iCs/>
              </w:rPr>
              <w:t>Pmax</w:t>
            </w:r>
            <w:proofErr w:type="spellEnd"/>
            <w:r w:rsidRPr="0045722A">
              <w:rPr>
                <w:rFonts w:asciiTheme="majorBidi" w:hAnsiTheme="majorBidi" w:cstheme="majorBidi"/>
                <w:bCs/>
                <w:iCs/>
              </w:rPr>
              <w:t xml:space="preserve"> is satisfied.</w:t>
            </w:r>
            <w:r w:rsidR="008C22D1">
              <w:rPr>
                <w:rFonts w:asciiTheme="majorBidi" w:hAnsiTheme="majorBidi" w:cstheme="majorBidi"/>
                <w:bCs/>
                <w:iCs/>
              </w:rPr>
              <w:t xml:space="preserve"> All cells are controlled by the same </w:t>
            </w:r>
            <w:proofErr w:type="spellStart"/>
            <w:r w:rsidR="008C22D1">
              <w:rPr>
                <w:rFonts w:asciiTheme="majorBidi" w:hAnsiTheme="majorBidi" w:cstheme="majorBidi"/>
                <w:bCs/>
                <w:iCs/>
              </w:rPr>
              <w:t>gNB</w:t>
            </w:r>
            <w:proofErr w:type="spellEnd"/>
            <w:r w:rsidR="008C22D1">
              <w:rPr>
                <w:rFonts w:asciiTheme="majorBidi" w:hAnsiTheme="majorBidi" w:cstheme="majorBidi"/>
                <w:bCs/>
                <w:iCs/>
              </w:rPr>
              <w:t>; hence, interruptions are manageable/avoidable.</w:t>
            </w:r>
          </w:p>
        </w:tc>
        <w:tc>
          <w:tcPr>
            <w:tcW w:w="3321" w:type="dxa"/>
          </w:tcPr>
          <w:p w14:paraId="05714E51" w14:textId="07F61CD1" w:rsidR="0045722A" w:rsidRDefault="0045722A" w:rsidP="00214148">
            <w:pPr>
              <w:rPr>
                <w:rFonts w:asciiTheme="majorBidi" w:hAnsiTheme="majorBidi" w:cstheme="majorBidi"/>
                <w:bCs/>
                <w:iCs/>
              </w:rPr>
            </w:pPr>
            <w:r w:rsidRPr="0045722A">
              <w:rPr>
                <w:rFonts w:asciiTheme="majorBidi" w:hAnsiTheme="majorBidi" w:cstheme="majorBidi"/>
                <w:bCs/>
                <w:iCs/>
              </w:rPr>
              <w:t>In DC, cells do not know about each other</w:t>
            </w:r>
            <w:r w:rsidR="008C22D1">
              <w:rPr>
                <w:rFonts w:asciiTheme="majorBidi" w:hAnsiTheme="majorBidi" w:cstheme="majorBidi"/>
                <w:bCs/>
                <w:iCs/>
              </w:rPr>
              <w:t>’s scheduling decisions</w:t>
            </w:r>
            <w:r w:rsidRPr="0045722A">
              <w:rPr>
                <w:rFonts w:asciiTheme="majorBidi" w:hAnsiTheme="majorBidi" w:cstheme="majorBidi"/>
                <w:bCs/>
                <w:iCs/>
              </w:rPr>
              <w:t>. Following the CA behavior with no modification lea</w:t>
            </w:r>
            <w:r w:rsidR="00842C60">
              <w:rPr>
                <w:rFonts w:asciiTheme="majorBidi" w:hAnsiTheme="majorBidi" w:cstheme="majorBidi"/>
                <w:bCs/>
                <w:iCs/>
              </w:rPr>
              <w:t>ds to interrupting the uplink transmission</w:t>
            </w:r>
            <w:r w:rsidRPr="0045722A">
              <w:rPr>
                <w:rFonts w:asciiTheme="majorBidi" w:hAnsiTheme="majorBidi" w:cstheme="majorBidi"/>
                <w:bCs/>
                <w:iCs/>
              </w:rPr>
              <w:t xml:space="preserve"> of one CG without the </w:t>
            </w:r>
            <w:proofErr w:type="spellStart"/>
            <w:r w:rsidRPr="0045722A">
              <w:rPr>
                <w:rFonts w:asciiTheme="majorBidi" w:hAnsiTheme="majorBidi" w:cstheme="majorBidi"/>
                <w:bCs/>
                <w:iCs/>
              </w:rPr>
              <w:t>gNB’s</w:t>
            </w:r>
            <w:proofErr w:type="spellEnd"/>
            <w:r w:rsidRPr="0045722A">
              <w:rPr>
                <w:rFonts w:asciiTheme="majorBidi" w:hAnsiTheme="majorBidi" w:cstheme="majorBidi"/>
                <w:bCs/>
                <w:iCs/>
              </w:rPr>
              <w:t xml:space="preserve"> knowledge.</w:t>
            </w:r>
          </w:p>
        </w:tc>
      </w:tr>
      <w:tr w:rsidR="0045722A" w14:paraId="1D44EC87" w14:textId="77777777" w:rsidTr="00C23864">
        <w:tc>
          <w:tcPr>
            <w:tcW w:w="2065" w:type="dxa"/>
            <w:shd w:val="clear" w:color="auto" w:fill="FBE4D5" w:themeFill="accent2" w:themeFillTint="33"/>
          </w:tcPr>
          <w:p w14:paraId="4203E5E6" w14:textId="336EDB76"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EN-DC</w:t>
            </w:r>
          </w:p>
        </w:tc>
        <w:tc>
          <w:tcPr>
            <w:tcW w:w="4576" w:type="dxa"/>
          </w:tcPr>
          <w:p w14:paraId="2A978C70" w14:textId="26850381" w:rsidR="0045722A" w:rsidRDefault="0045722A" w:rsidP="00214148">
            <w:pPr>
              <w:rPr>
                <w:rFonts w:asciiTheme="majorBidi" w:hAnsiTheme="majorBidi" w:cstheme="majorBidi"/>
                <w:bCs/>
                <w:iCs/>
              </w:rPr>
            </w:pPr>
            <w:r w:rsidRPr="0045722A">
              <w:rPr>
                <w:rFonts w:asciiTheme="majorBidi" w:hAnsiTheme="majorBidi" w:cstheme="majorBidi"/>
                <w:bCs/>
                <w:iCs/>
              </w:rPr>
              <w:t>Semi-static an</w:t>
            </w:r>
            <w:r w:rsidR="00842C60">
              <w:rPr>
                <w:rFonts w:asciiTheme="majorBidi" w:hAnsiTheme="majorBidi" w:cstheme="majorBidi"/>
                <w:bCs/>
                <w:iCs/>
              </w:rPr>
              <w:t>d dynamic power control schemes are adopted.</w:t>
            </w:r>
            <w:r w:rsidRPr="0045722A">
              <w:rPr>
                <w:rFonts w:asciiTheme="majorBidi" w:hAnsiTheme="majorBidi" w:cstheme="majorBidi"/>
                <w:bCs/>
                <w:iCs/>
              </w:rPr>
              <w:t xml:space="preserve"> Under the dynamic scheme, a UE is configured with P_LTE and P_NR. If P_LTE+P_NR &gt; P_ENDC, the UE </w:t>
            </w:r>
            <w:proofErr w:type="gramStart"/>
            <w:r w:rsidRPr="0045722A">
              <w:rPr>
                <w:rFonts w:asciiTheme="majorBidi" w:hAnsiTheme="majorBidi" w:cstheme="majorBidi"/>
                <w:bCs/>
                <w:iCs/>
              </w:rPr>
              <w:t>has to</w:t>
            </w:r>
            <w:proofErr w:type="gramEnd"/>
            <w:r w:rsidRPr="0045722A">
              <w:rPr>
                <w:rFonts w:asciiTheme="majorBidi" w:hAnsiTheme="majorBidi" w:cstheme="majorBidi"/>
                <w:bCs/>
                <w:iCs/>
              </w:rPr>
              <w:t xml:space="preserve"> scale down its NR power</w:t>
            </w:r>
            <w:r w:rsidR="008C22D1">
              <w:rPr>
                <w:rFonts w:asciiTheme="majorBidi" w:hAnsiTheme="majorBidi" w:cstheme="majorBidi"/>
                <w:bCs/>
                <w:iCs/>
              </w:rPr>
              <w:t xml:space="preserve"> when collision happens</w:t>
            </w:r>
            <w:r w:rsidRPr="0045722A">
              <w:rPr>
                <w:rFonts w:asciiTheme="majorBidi" w:hAnsiTheme="majorBidi" w:cstheme="majorBidi"/>
                <w:bCs/>
                <w:iCs/>
              </w:rPr>
              <w:t>. The SCG has a lower priority, and it is faster; hence, it can adapt its power based on the LTE decision.</w:t>
            </w:r>
          </w:p>
        </w:tc>
        <w:tc>
          <w:tcPr>
            <w:tcW w:w="3321" w:type="dxa"/>
            <w:vMerge w:val="restart"/>
          </w:tcPr>
          <w:p w14:paraId="3EF21BDA" w14:textId="77777777" w:rsidR="00842C60" w:rsidRDefault="00842C60" w:rsidP="0045722A">
            <w:pPr>
              <w:rPr>
                <w:rFonts w:asciiTheme="majorBidi" w:hAnsiTheme="majorBidi" w:cstheme="majorBidi"/>
                <w:bCs/>
                <w:iCs/>
              </w:rPr>
            </w:pPr>
          </w:p>
          <w:p w14:paraId="09C6612E" w14:textId="77777777" w:rsidR="00842C60" w:rsidRDefault="00842C60" w:rsidP="0045722A">
            <w:pPr>
              <w:rPr>
                <w:rFonts w:asciiTheme="majorBidi" w:hAnsiTheme="majorBidi" w:cstheme="majorBidi"/>
                <w:bCs/>
                <w:iCs/>
              </w:rPr>
            </w:pPr>
          </w:p>
          <w:p w14:paraId="53514362" w14:textId="69234978" w:rsidR="0045722A" w:rsidRPr="0045722A" w:rsidRDefault="00842C60" w:rsidP="0045722A">
            <w:pPr>
              <w:rPr>
                <w:rFonts w:asciiTheme="majorBidi" w:hAnsiTheme="majorBidi" w:cstheme="majorBidi"/>
                <w:bCs/>
                <w:iCs/>
              </w:rPr>
            </w:pPr>
            <w:r>
              <w:rPr>
                <w:rFonts w:asciiTheme="majorBidi" w:hAnsiTheme="majorBidi" w:cstheme="majorBidi"/>
                <w:bCs/>
                <w:iCs/>
              </w:rPr>
              <w:t>In Rel. 16 NN-DC, a UE has comparable processing latency on both cell groups</w:t>
            </w:r>
            <w:r w:rsidR="0045722A" w:rsidRPr="0045722A">
              <w:rPr>
                <w:rFonts w:asciiTheme="majorBidi" w:hAnsiTheme="majorBidi" w:cstheme="majorBidi"/>
                <w:bCs/>
                <w:iCs/>
              </w:rPr>
              <w:t>. It is not possible to always adapt one cell group’s power based on the decision made by the other one.</w:t>
            </w:r>
          </w:p>
          <w:p w14:paraId="12F35D09" w14:textId="77777777" w:rsidR="0045722A" w:rsidRDefault="0045722A" w:rsidP="00214148">
            <w:pPr>
              <w:rPr>
                <w:rFonts w:asciiTheme="majorBidi" w:hAnsiTheme="majorBidi" w:cstheme="majorBidi"/>
                <w:bCs/>
                <w:iCs/>
              </w:rPr>
            </w:pPr>
          </w:p>
        </w:tc>
      </w:tr>
      <w:tr w:rsidR="0045722A" w14:paraId="15E948AE" w14:textId="77777777" w:rsidTr="00C23864">
        <w:tc>
          <w:tcPr>
            <w:tcW w:w="2065" w:type="dxa"/>
            <w:shd w:val="clear" w:color="auto" w:fill="FBE4D5" w:themeFill="accent2" w:themeFillTint="33"/>
          </w:tcPr>
          <w:p w14:paraId="7832AABE" w14:textId="53283FE4"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NE-DC</w:t>
            </w:r>
          </w:p>
        </w:tc>
        <w:tc>
          <w:tcPr>
            <w:tcW w:w="4576" w:type="dxa"/>
          </w:tcPr>
          <w:p w14:paraId="4ACD219A" w14:textId="22542C6E" w:rsidR="0045722A" w:rsidRDefault="0045722A" w:rsidP="00214148">
            <w:pPr>
              <w:rPr>
                <w:rFonts w:asciiTheme="majorBidi" w:hAnsiTheme="majorBidi" w:cstheme="majorBidi"/>
                <w:bCs/>
                <w:iCs/>
              </w:rPr>
            </w:pPr>
            <w:r w:rsidRPr="0045722A">
              <w:rPr>
                <w:rFonts w:asciiTheme="majorBidi" w:hAnsiTheme="majorBidi" w:cstheme="majorBidi"/>
                <w:bCs/>
                <w:iCs/>
              </w:rPr>
              <w:t>N</w:t>
            </w:r>
            <w:r w:rsidR="008C22D1">
              <w:rPr>
                <w:rFonts w:asciiTheme="majorBidi" w:hAnsiTheme="majorBidi" w:cstheme="majorBidi"/>
                <w:bCs/>
                <w:iCs/>
              </w:rPr>
              <w:t xml:space="preserve">R has a higher priority; P_LTE </w:t>
            </w:r>
            <w:r w:rsidRPr="0045722A">
              <w:rPr>
                <w:rFonts w:asciiTheme="majorBidi" w:hAnsiTheme="majorBidi" w:cstheme="majorBidi"/>
                <w:bCs/>
                <w:iCs/>
              </w:rPr>
              <w:t>is modified depending on whether collision may happen or not. If P_NEDC is not satisfied, NR power should be scaled down.</w:t>
            </w:r>
          </w:p>
        </w:tc>
        <w:tc>
          <w:tcPr>
            <w:tcW w:w="3321" w:type="dxa"/>
            <w:vMerge/>
          </w:tcPr>
          <w:p w14:paraId="3A8EDE0C" w14:textId="77777777" w:rsidR="0045722A" w:rsidRDefault="0045722A" w:rsidP="00214148">
            <w:pPr>
              <w:rPr>
                <w:rFonts w:asciiTheme="majorBidi" w:hAnsiTheme="majorBidi" w:cstheme="majorBidi"/>
                <w:bCs/>
                <w:iCs/>
              </w:rPr>
            </w:pPr>
          </w:p>
        </w:tc>
      </w:tr>
      <w:tr w:rsidR="0045722A" w14:paraId="11CC7EFF" w14:textId="77777777" w:rsidTr="00C23864">
        <w:tc>
          <w:tcPr>
            <w:tcW w:w="2065" w:type="dxa"/>
            <w:shd w:val="clear" w:color="auto" w:fill="FBE4D5" w:themeFill="accent2" w:themeFillTint="33"/>
          </w:tcPr>
          <w:p w14:paraId="3195F847" w14:textId="0E7F0DB3" w:rsidR="0045722A" w:rsidRPr="0045722A" w:rsidRDefault="0045722A" w:rsidP="0045722A">
            <w:pPr>
              <w:jc w:val="center"/>
              <w:rPr>
                <w:rFonts w:asciiTheme="majorBidi" w:hAnsiTheme="majorBidi" w:cstheme="majorBidi"/>
                <w:b/>
                <w:bCs/>
                <w:iCs/>
              </w:rPr>
            </w:pPr>
            <w:r w:rsidRPr="0045722A">
              <w:rPr>
                <w:rFonts w:asciiTheme="majorBidi" w:hAnsiTheme="majorBidi" w:cstheme="majorBidi"/>
                <w:b/>
                <w:bCs/>
                <w:iCs/>
              </w:rPr>
              <w:t>NN-DC</w:t>
            </w:r>
          </w:p>
        </w:tc>
        <w:tc>
          <w:tcPr>
            <w:tcW w:w="4576" w:type="dxa"/>
          </w:tcPr>
          <w:p w14:paraId="6162970E" w14:textId="59BDEC43" w:rsidR="0045722A" w:rsidRDefault="0045722A" w:rsidP="00214148">
            <w:pPr>
              <w:rPr>
                <w:rFonts w:asciiTheme="majorBidi" w:hAnsiTheme="majorBidi" w:cstheme="majorBidi"/>
                <w:bCs/>
                <w:iCs/>
              </w:rPr>
            </w:pPr>
            <w:r w:rsidRPr="0045722A">
              <w:rPr>
                <w:rFonts w:asciiTheme="majorBidi" w:hAnsiTheme="majorBidi" w:cstheme="majorBidi"/>
                <w:bCs/>
                <w:iCs/>
              </w:rPr>
              <w:t>NN-DC using FR1+FR2 with independent power control across the cell groups.</w:t>
            </w:r>
          </w:p>
        </w:tc>
        <w:tc>
          <w:tcPr>
            <w:tcW w:w="3321" w:type="dxa"/>
          </w:tcPr>
          <w:p w14:paraId="1E49D712" w14:textId="5324C6EB" w:rsidR="0045722A" w:rsidRDefault="00842C60" w:rsidP="00214148">
            <w:pPr>
              <w:rPr>
                <w:rFonts w:asciiTheme="majorBidi" w:hAnsiTheme="majorBidi" w:cstheme="majorBidi"/>
                <w:bCs/>
                <w:iCs/>
              </w:rPr>
            </w:pPr>
            <w:r>
              <w:rPr>
                <w:rFonts w:asciiTheme="majorBidi" w:hAnsiTheme="majorBidi" w:cstheme="majorBidi"/>
                <w:bCs/>
                <w:iCs/>
              </w:rPr>
              <w:t>Rel. 16 NN-DC assumes cell groups with</w:t>
            </w:r>
            <w:r w:rsidR="0045722A" w:rsidRPr="0045722A">
              <w:rPr>
                <w:rFonts w:asciiTheme="majorBidi" w:hAnsiTheme="majorBidi" w:cstheme="majorBidi"/>
                <w:bCs/>
                <w:iCs/>
              </w:rPr>
              <w:t xml:space="preserve"> FR1+FR1 or </w:t>
            </w:r>
            <w:r w:rsidR="0045722A" w:rsidRPr="008C22D1">
              <w:rPr>
                <w:rFonts w:asciiTheme="majorBidi" w:hAnsiTheme="majorBidi" w:cstheme="majorBidi"/>
                <w:bCs/>
                <w:iCs/>
              </w:rPr>
              <w:t>FR2+FR2</w:t>
            </w:r>
            <w:r w:rsidR="0045722A" w:rsidRPr="0045722A">
              <w:rPr>
                <w:rFonts w:asciiTheme="majorBidi" w:hAnsiTheme="majorBidi" w:cstheme="majorBidi"/>
                <w:bCs/>
                <w:iCs/>
              </w:rPr>
              <w:t>; power control decisions are dependent across the cell groups.</w:t>
            </w:r>
          </w:p>
        </w:tc>
      </w:tr>
    </w:tbl>
    <w:p w14:paraId="08F6EB33" w14:textId="77777777" w:rsidR="00D32C7A" w:rsidRPr="00846BEE" w:rsidRDefault="00D32C7A" w:rsidP="00214148">
      <w:pPr>
        <w:jc w:val="both"/>
        <w:rPr>
          <w:rFonts w:asciiTheme="majorBidi" w:hAnsiTheme="majorBidi" w:cstheme="majorBidi"/>
          <w:bCs/>
          <w:iCs/>
        </w:rPr>
      </w:pPr>
    </w:p>
    <w:p w14:paraId="3E36F54D" w14:textId="26AA14C4" w:rsidR="0036619F" w:rsidRPr="00846BEE" w:rsidRDefault="00D32C7A" w:rsidP="00214148">
      <w:pPr>
        <w:jc w:val="both"/>
        <w:rPr>
          <w:rFonts w:asciiTheme="majorBidi" w:hAnsiTheme="majorBidi" w:cstheme="majorBidi"/>
          <w:bCs/>
          <w:iCs/>
        </w:rPr>
      </w:pPr>
      <w:r w:rsidRPr="00846BEE">
        <w:rPr>
          <w:rFonts w:asciiTheme="majorBidi" w:hAnsiTheme="majorBidi" w:cstheme="majorBidi"/>
          <w:bCs/>
          <w:iCs/>
        </w:rPr>
        <w:t xml:space="preserve">In the subsequent sections, we first </w:t>
      </w:r>
      <w:r w:rsidR="005C7FF2">
        <w:rPr>
          <w:rFonts w:asciiTheme="majorBidi" w:hAnsiTheme="majorBidi" w:cstheme="majorBidi"/>
          <w:bCs/>
          <w:iCs/>
        </w:rPr>
        <w:t>discuss the benefits and drawbacks of the semi-static power sharing and dynamic power sharing</w:t>
      </w:r>
      <w:r w:rsidRPr="00846BEE">
        <w:rPr>
          <w:rFonts w:asciiTheme="majorBidi" w:hAnsiTheme="majorBidi" w:cstheme="majorBidi"/>
          <w:bCs/>
          <w:iCs/>
        </w:rPr>
        <w:t>, and then c</w:t>
      </w:r>
      <w:r w:rsidR="00C23864" w:rsidRPr="00846BEE">
        <w:rPr>
          <w:rFonts w:asciiTheme="majorBidi" w:hAnsiTheme="majorBidi" w:cstheme="majorBidi"/>
          <w:bCs/>
          <w:iCs/>
        </w:rPr>
        <w:t xml:space="preserve">onsidering the points raised </w:t>
      </w:r>
      <w:r w:rsidRPr="00846BEE">
        <w:rPr>
          <w:rFonts w:asciiTheme="majorBidi" w:hAnsiTheme="majorBidi" w:cstheme="majorBidi"/>
          <w:bCs/>
          <w:iCs/>
        </w:rPr>
        <w:t>here</w:t>
      </w:r>
      <w:r w:rsidR="00C23864" w:rsidRPr="00846BEE">
        <w:rPr>
          <w:rFonts w:asciiTheme="majorBidi" w:hAnsiTheme="majorBidi" w:cstheme="majorBidi"/>
          <w:bCs/>
          <w:iCs/>
        </w:rPr>
        <w:t xml:space="preserve">, we propose a </w:t>
      </w:r>
      <w:r w:rsidR="005C7FF2">
        <w:rPr>
          <w:rFonts w:asciiTheme="majorBidi" w:hAnsiTheme="majorBidi" w:cstheme="majorBidi"/>
          <w:bCs/>
          <w:iCs/>
        </w:rPr>
        <w:t>promising</w:t>
      </w:r>
      <w:r w:rsidR="005C7FF2" w:rsidRPr="00846BEE">
        <w:rPr>
          <w:rFonts w:asciiTheme="majorBidi" w:hAnsiTheme="majorBidi" w:cstheme="majorBidi"/>
          <w:bCs/>
          <w:iCs/>
        </w:rPr>
        <w:t xml:space="preserve"> </w:t>
      </w:r>
      <w:r w:rsidR="00C23864" w:rsidRPr="00846BEE">
        <w:rPr>
          <w:rFonts w:asciiTheme="majorBidi" w:hAnsiTheme="majorBidi" w:cstheme="majorBidi"/>
          <w:bCs/>
          <w:iCs/>
        </w:rPr>
        <w:t>solution for uplink power control of Rel. 16 NN-DC.</w:t>
      </w:r>
    </w:p>
    <w:p w14:paraId="7E0F4733" w14:textId="2662EB3B" w:rsidR="00D32C7A" w:rsidRPr="00846BEE" w:rsidRDefault="00D32C7A" w:rsidP="00D32C7A">
      <w:pPr>
        <w:pStyle w:val="Heading1"/>
        <w:jc w:val="both"/>
        <w:rPr>
          <w:rFonts w:ascii="Times New Roman" w:hAnsi="Times New Roman"/>
        </w:rPr>
      </w:pPr>
      <w:r w:rsidRPr="00846BEE">
        <w:rPr>
          <w:rFonts w:ascii="Times New Roman" w:hAnsi="Times New Roman"/>
        </w:rPr>
        <w:t xml:space="preserve">Semi-Static Versus Dynamic Power Sharing </w:t>
      </w:r>
      <w:r w:rsidR="00212904" w:rsidRPr="00846BEE">
        <w:rPr>
          <w:rFonts w:ascii="Times New Roman" w:hAnsi="Times New Roman"/>
        </w:rPr>
        <w:t>for NN-DC</w:t>
      </w:r>
    </w:p>
    <w:p w14:paraId="553256AF" w14:textId="11668BD5" w:rsidR="00B5720F" w:rsidRPr="00846BEE" w:rsidRDefault="004D0879" w:rsidP="00F43662">
      <w:pPr>
        <w:jc w:val="both"/>
        <w:rPr>
          <w:lang w:val="en-GB"/>
        </w:rPr>
      </w:pPr>
      <w:r w:rsidRPr="00846BEE">
        <w:rPr>
          <w:lang w:val="en-GB"/>
        </w:rPr>
        <w:t xml:space="preserve">Under a semi-static power sharing scheme, </w:t>
      </w:r>
      <w:r w:rsidR="00F43662" w:rsidRPr="00846BEE">
        <w:rPr>
          <w:lang w:val="en-GB"/>
        </w:rPr>
        <w:t>the total allowed power across all the serving cells is semi-statically split between the two cell groups</w:t>
      </w:r>
      <w:r w:rsidR="00A05F0E" w:rsidRPr="00846BEE">
        <w:rPr>
          <w:lang w:val="en-GB"/>
        </w:rPr>
        <w:t xml:space="preserve"> such that the total UE’s transmit power is always below or equal to the total allowed transmit power.</w:t>
      </w:r>
      <w:r w:rsidR="00B57D28">
        <w:rPr>
          <w:lang w:val="en-GB"/>
        </w:rPr>
        <w:t xml:space="preserve"> </w:t>
      </w:r>
      <w:r w:rsidR="00A05F0E" w:rsidRPr="00846BEE">
        <w:rPr>
          <w:lang w:val="en-GB"/>
        </w:rPr>
        <w:t>Hence</w:t>
      </w:r>
      <w:r w:rsidR="00F43662" w:rsidRPr="00846BEE">
        <w:rPr>
          <w:lang w:val="en-GB"/>
        </w:rPr>
        <w:t>, it is always guaranteed that at no time,</w:t>
      </w:r>
      <w:r w:rsidR="00965D91" w:rsidRPr="00846BEE">
        <w:rPr>
          <w:lang w:val="en-GB"/>
        </w:rPr>
        <w:t xml:space="preserve"> the uplink transmission in one cell group is i</w:t>
      </w:r>
      <w:r w:rsidR="00A05F0E" w:rsidRPr="00846BEE">
        <w:rPr>
          <w:lang w:val="en-GB"/>
        </w:rPr>
        <w:t xml:space="preserve">nterrupted </w:t>
      </w:r>
      <w:r w:rsidR="00965D91" w:rsidRPr="00846BEE">
        <w:rPr>
          <w:lang w:val="en-GB"/>
        </w:rPr>
        <w:t>by another uplink transmission</w:t>
      </w:r>
      <w:r w:rsidR="00FC2C5D">
        <w:rPr>
          <w:lang w:val="en-GB"/>
        </w:rPr>
        <w:t>, dynamically scheduled,</w:t>
      </w:r>
      <w:r w:rsidR="00965D91" w:rsidRPr="00846BEE">
        <w:rPr>
          <w:lang w:val="en-GB"/>
        </w:rPr>
        <w:t xml:space="preserve"> in the other cell group</w:t>
      </w:r>
      <w:r w:rsidR="00482262">
        <w:rPr>
          <w:lang w:val="en-GB"/>
        </w:rPr>
        <w:t xml:space="preserve">. </w:t>
      </w:r>
      <w:proofErr w:type="gramStart"/>
      <w:r w:rsidR="00482262">
        <w:rPr>
          <w:lang w:val="en-GB"/>
        </w:rPr>
        <w:t>As a consequence</w:t>
      </w:r>
      <w:proofErr w:type="gramEnd"/>
      <w:r w:rsidR="00482262">
        <w:rPr>
          <w:lang w:val="en-GB"/>
        </w:rPr>
        <w:t>,</w:t>
      </w:r>
      <w:r w:rsidR="00283144">
        <w:rPr>
          <w:lang w:val="en-GB"/>
        </w:rPr>
        <w:t xml:space="preserve"> </w:t>
      </w:r>
      <w:r w:rsidR="00A05F0E" w:rsidRPr="00846BEE">
        <w:rPr>
          <w:lang w:val="en-GB"/>
        </w:rPr>
        <w:t xml:space="preserve">power scaling due to simultaneous </w:t>
      </w:r>
      <w:r w:rsidR="00A05F0E" w:rsidRPr="00846BEE">
        <w:rPr>
          <w:lang w:val="en-GB"/>
        </w:rPr>
        <w:lastRenderedPageBreak/>
        <w:t>transmissions in the other cell group is not needed, and each transmission’s phase continuity can be preserved</w:t>
      </w:r>
      <w:r w:rsidR="00965D91" w:rsidRPr="00846BEE">
        <w:rPr>
          <w:lang w:val="en-GB"/>
        </w:rPr>
        <w:t xml:space="preserve">. This is an essential </w:t>
      </w:r>
      <w:r w:rsidR="00A05F0E" w:rsidRPr="00846BEE">
        <w:rPr>
          <w:lang w:val="en-GB"/>
        </w:rPr>
        <w:t xml:space="preserve">feature of a semi-static power sharing scheme for dual-connectivity deployment; due to the absence of coordination across the </w:t>
      </w:r>
      <w:proofErr w:type="spellStart"/>
      <w:r w:rsidR="00A05F0E" w:rsidRPr="00846BEE">
        <w:rPr>
          <w:lang w:val="en-GB"/>
        </w:rPr>
        <w:t>gNBs</w:t>
      </w:r>
      <w:proofErr w:type="spellEnd"/>
      <w:r w:rsidR="00A05F0E" w:rsidRPr="00846BEE">
        <w:rPr>
          <w:lang w:val="en-GB"/>
        </w:rPr>
        <w:t xml:space="preserve">, with semi-static power sharing, the network operation is predictable. Another important aspect to consider is that under a semi-static power sharing, uplink link adaptation can be performed efficiently. A </w:t>
      </w:r>
      <w:proofErr w:type="spellStart"/>
      <w:r w:rsidR="00A05F0E" w:rsidRPr="00846BEE">
        <w:rPr>
          <w:lang w:val="en-GB"/>
        </w:rPr>
        <w:t>gNB</w:t>
      </w:r>
      <w:proofErr w:type="spellEnd"/>
      <w:r w:rsidR="00A05F0E" w:rsidRPr="00846BEE">
        <w:rPr>
          <w:lang w:val="en-GB"/>
        </w:rPr>
        <w:t xml:space="preserve"> decides the uplink MCS based on its local information about the UE’s channel conditions and available power. With such information, uplink MCS can be set accordingly. </w:t>
      </w:r>
    </w:p>
    <w:p w14:paraId="36127B41" w14:textId="302F21F4" w:rsidR="00D32C7A" w:rsidRDefault="00B5720F" w:rsidP="00214148">
      <w:pPr>
        <w:jc w:val="both"/>
        <w:rPr>
          <w:lang w:val="en-GB"/>
        </w:rPr>
      </w:pPr>
      <w:r w:rsidRPr="00846BEE">
        <w:rPr>
          <w:lang w:val="en-GB"/>
        </w:rPr>
        <w:t>An alternative solution for uplink power control in a dual-</w:t>
      </w:r>
      <w:proofErr w:type="spellStart"/>
      <w:r w:rsidRPr="00846BEE">
        <w:rPr>
          <w:lang w:val="en-GB"/>
        </w:rPr>
        <w:t>coonectivity</w:t>
      </w:r>
      <w:proofErr w:type="spellEnd"/>
      <w:r w:rsidRPr="00846BEE">
        <w:rPr>
          <w:lang w:val="en-GB"/>
        </w:rPr>
        <w:t xml:space="preserve"> deployment is to allow for dynamic power sharing across the cell groups. Under this scheme, the total allowed power can be shared across the two cell groups dynamically. As an example, each cell group may be assigned a minimum reserved power</w:t>
      </w:r>
      <w:r w:rsidR="00482262">
        <w:rPr>
          <w:lang w:val="en-GB"/>
        </w:rPr>
        <w:t xml:space="preserve"> to protect, e.g., PUCCH carrying HARQ-ACK</w:t>
      </w:r>
      <w:r w:rsidRPr="00846BEE">
        <w:rPr>
          <w:lang w:val="en-GB"/>
        </w:rPr>
        <w:t xml:space="preserve">. This power is guaranteed for each cell </w:t>
      </w:r>
      <w:proofErr w:type="gramStart"/>
      <w:r w:rsidRPr="00846BEE">
        <w:rPr>
          <w:lang w:val="en-GB"/>
        </w:rPr>
        <w:t>group, and</w:t>
      </w:r>
      <w:proofErr w:type="gramEnd"/>
      <w:r w:rsidRPr="00846BEE">
        <w:rPr>
          <w:lang w:val="en-GB"/>
        </w:rPr>
        <w:t xml:space="preserve"> cannot be recycled by the other cell group. </w:t>
      </w:r>
      <w:proofErr w:type="gramStart"/>
      <w:r w:rsidRPr="00846BEE">
        <w:rPr>
          <w:lang w:val="en-GB"/>
        </w:rPr>
        <w:t>As long as</w:t>
      </w:r>
      <w:proofErr w:type="gramEnd"/>
      <w:r w:rsidRPr="00846BEE">
        <w:rPr>
          <w:lang w:val="en-GB"/>
        </w:rPr>
        <w:t xml:space="preserve"> the uplink transmission power remains within this boundary, the transmission is not impacted by the concurrent transmission in the other cell group. However, if the </w:t>
      </w:r>
      <w:proofErr w:type="spellStart"/>
      <w:r w:rsidRPr="00846BEE">
        <w:rPr>
          <w:lang w:val="en-GB"/>
        </w:rPr>
        <w:t>gNB</w:t>
      </w:r>
      <w:proofErr w:type="spellEnd"/>
      <w:r w:rsidRPr="00846BEE">
        <w:rPr>
          <w:lang w:val="en-GB"/>
        </w:rPr>
        <w:t xml:space="preserve"> decides to request for a larger amount of power, </w:t>
      </w:r>
      <w:r w:rsidR="00001E81" w:rsidRPr="00846BEE">
        <w:rPr>
          <w:lang w:val="en-GB"/>
        </w:rPr>
        <w:t xml:space="preserve">it is not guaranteed whether the transmission remains uninterrupted. </w:t>
      </w:r>
      <w:r w:rsidR="000B6B09" w:rsidRPr="00846BEE">
        <w:rPr>
          <w:lang w:val="en-GB"/>
        </w:rPr>
        <w:t xml:space="preserve">As an example, assume that PUSCH A is scheduled with uplink power P_A &gt; P_res,2 in cell group 2. Another uplink transmission, PUSCH B, with a higher priority is then triggered in the other cell </w:t>
      </w:r>
      <w:proofErr w:type="gramStart"/>
      <w:r w:rsidR="000B6B09" w:rsidRPr="00846BEE">
        <w:rPr>
          <w:lang w:val="en-GB"/>
        </w:rPr>
        <w:t>group, and</w:t>
      </w:r>
      <w:proofErr w:type="gramEnd"/>
      <w:r w:rsidR="000B6B09" w:rsidRPr="00846BEE">
        <w:rPr>
          <w:lang w:val="en-GB"/>
        </w:rPr>
        <w:t xml:space="preserve"> is requested to be sent with uplink power P_B &gt; P_res,1 such that P_A+P_B &gt; </w:t>
      </w:r>
      <w:proofErr w:type="spellStart"/>
      <w:r w:rsidR="000B6B09" w:rsidRPr="00846BEE">
        <w:rPr>
          <w:lang w:val="en-GB"/>
        </w:rPr>
        <w:t>P_tot</w:t>
      </w:r>
      <w:proofErr w:type="spellEnd"/>
      <w:r w:rsidR="000B6B09" w:rsidRPr="00846BEE">
        <w:rPr>
          <w:lang w:val="en-GB"/>
        </w:rPr>
        <w:t xml:space="preserve">. In such a case, the power of PUSCH A needs to be scaled down in the middle of the transmission. Any power re-scaling in the middle of the transmission can cause phase discontinuity, i.e., the DMRS and data symbols may be out of phase. In such a case, the uplink transmission cannot be decoded. </w:t>
      </w:r>
      <w:r w:rsidR="00482262">
        <w:rPr>
          <w:lang w:val="en-GB"/>
        </w:rPr>
        <w:t xml:space="preserve">As another example, the minimum reserved power could be </w:t>
      </w:r>
      <w:proofErr w:type="gramStart"/>
      <w:r w:rsidR="00482262">
        <w:rPr>
          <w:lang w:val="en-GB"/>
        </w:rPr>
        <w:t>sufficient</w:t>
      </w:r>
      <w:proofErr w:type="gramEnd"/>
      <w:r w:rsidR="00482262">
        <w:rPr>
          <w:lang w:val="en-GB"/>
        </w:rPr>
        <w:t xml:space="preserve"> for the transmission of PUCCH carrying HARQ-ACK. However, the </w:t>
      </w:r>
      <w:proofErr w:type="spellStart"/>
      <w:r w:rsidR="00482262">
        <w:rPr>
          <w:lang w:val="en-GB"/>
        </w:rPr>
        <w:t>gNB</w:t>
      </w:r>
      <w:proofErr w:type="spellEnd"/>
      <w:r w:rsidR="00482262">
        <w:rPr>
          <w:lang w:val="en-GB"/>
        </w:rPr>
        <w:t xml:space="preserve"> may schedule a PUSCH overlapping with PUCCH. In such a case, HARQ-ACK should be multiplexed on PUSCH. Then, the required power for PUSCH carrying HARQ-ACK might be above the minimum reserved power. Since allocating a power above the minimum reserved power increases the risk of experiencing phase discontinuity, the HARQ-ACK reliability may be impacted. </w:t>
      </w:r>
      <w:r w:rsidR="000B6B09" w:rsidRPr="00846BEE">
        <w:rPr>
          <w:lang w:val="en-GB"/>
        </w:rPr>
        <w:t xml:space="preserve">The main drawback of the dynamic power sharing is that the network </w:t>
      </w:r>
      <w:proofErr w:type="spellStart"/>
      <w:r w:rsidR="000B6B09" w:rsidRPr="00846BEE">
        <w:rPr>
          <w:lang w:val="en-GB"/>
        </w:rPr>
        <w:t>opration</w:t>
      </w:r>
      <w:proofErr w:type="spellEnd"/>
      <w:r w:rsidR="000B6B09" w:rsidRPr="00846BEE">
        <w:rPr>
          <w:lang w:val="en-GB"/>
        </w:rPr>
        <w:t xml:space="preserve"> is not predictable</w:t>
      </w:r>
      <w:r w:rsidR="00482262">
        <w:rPr>
          <w:lang w:val="en-GB"/>
        </w:rPr>
        <w:t xml:space="preserve">, the interruptions are not under the full control of the scheduling </w:t>
      </w:r>
      <w:proofErr w:type="spellStart"/>
      <w:proofErr w:type="gramStart"/>
      <w:r w:rsidR="00482262">
        <w:rPr>
          <w:lang w:val="en-GB"/>
        </w:rPr>
        <w:t>gNB</w:t>
      </w:r>
      <w:proofErr w:type="spellEnd"/>
      <w:r w:rsidR="00482262">
        <w:rPr>
          <w:lang w:val="en-GB"/>
        </w:rPr>
        <w:t>, and</w:t>
      </w:r>
      <w:proofErr w:type="gramEnd"/>
      <w:r w:rsidR="00482262">
        <w:rPr>
          <w:lang w:val="en-GB"/>
        </w:rPr>
        <w:t xml:space="preserve"> cannot be avoided or planned</w:t>
      </w:r>
      <w:r w:rsidR="000B6B09" w:rsidRPr="00846BEE">
        <w:rPr>
          <w:lang w:val="en-GB"/>
        </w:rPr>
        <w:t xml:space="preserve">. </w:t>
      </w:r>
      <w:r w:rsidR="00F71A73">
        <w:rPr>
          <w:lang w:val="en-GB"/>
        </w:rPr>
        <w:t>Hence, adopting any dynamic power sharing scheme for NN-DC is not desirable.</w:t>
      </w:r>
      <w:r w:rsidR="000B6B09">
        <w:rPr>
          <w:lang w:val="en-GB"/>
        </w:rPr>
        <w:t xml:space="preserve"> </w:t>
      </w:r>
    </w:p>
    <w:p w14:paraId="0E19CEDF" w14:textId="1FBECC51" w:rsidR="00F71A73" w:rsidRDefault="00F71A73" w:rsidP="00F71A73">
      <w:pPr>
        <w:jc w:val="both"/>
        <w:rPr>
          <w:szCs w:val="22"/>
        </w:rPr>
      </w:pPr>
      <w:proofErr w:type="spellStart"/>
      <w:r>
        <w:rPr>
          <w:szCs w:val="22"/>
        </w:rPr>
        <w:t>Additionaly</w:t>
      </w:r>
      <w:proofErr w:type="spellEnd"/>
      <w:r>
        <w:rPr>
          <w:szCs w:val="22"/>
        </w:rPr>
        <w:t xml:space="preserve">, </w:t>
      </w:r>
      <w:r w:rsidRPr="00F71A73">
        <w:rPr>
          <w:szCs w:val="22"/>
        </w:rPr>
        <w:t>async</w:t>
      </w:r>
      <w:r>
        <w:rPr>
          <w:szCs w:val="22"/>
        </w:rPr>
        <w:t>hronous</w:t>
      </w:r>
      <w:r w:rsidRPr="00F71A73">
        <w:rPr>
          <w:szCs w:val="22"/>
        </w:rPr>
        <w:t xml:space="preserve"> DC is supportable with an architecture that has distinct hardware blocks mappable to </w:t>
      </w:r>
      <w:r>
        <w:rPr>
          <w:szCs w:val="22"/>
        </w:rPr>
        <w:t>the two cell groups</w:t>
      </w:r>
      <w:r w:rsidRPr="00F71A73">
        <w:rPr>
          <w:szCs w:val="22"/>
        </w:rPr>
        <w:t>. It must be a fundamental assumption that the two hardware blocks used for async</w:t>
      </w:r>
      <w:r>
        <w:rPr>
          <w:szCs w:val="22"/>
        </w:rPr>
        <w:t>hronous</w:t>
      </w:r>
      <w:r w:rsidRPr="00F71A73">
        <w:rPr>
          <w:szCs w:val="22"/>
        </w:rPr>
        <w:t xml:space="preserve"> DC are clearly separable, i.e.</w:t>
      </w:r>
      <w:r>
        <w:rPr>
          <w:szCs w:val="22"/>
        </w:rPr>
        <w:t>,</w:t>
      </w:r>
      <w:r w:rsidRPr="00F71A73">
        <w:rPr>
          <w:szCs w:val="22"/>
        </w:rPr>
        <w:t xml:space="preserve"> there is no cross-CG HARQ dependency, no cross-CG max data rate sharing, no cross-CG CSI triggering, </w:t>
      </w:r>
      <w:r>
        <w:rPr>
          <w:szCs w:val="22"/>
        </w:rPr>
        <w:t>etc</w:t>
      </w:r>
      <w:r w:rsidRPr="00F71A73">
        <w:rPr>
          <w:szCs w:val="22"/>
        </w:rPr>
        <w:t>. Th</w:t>
      </w:r>
      <w:r>
        <w:rPr>
          <w:szCs w:val="22"/>
        </w:rPr>
        <w:t>is</w:t>
      </w:r>
      <w:r w:rsidRPr="00F71A73">
        <w:rPr>
          <w:szCs w:val="22"/>
        </w:rPr>
        <w:t xml:space="preserve"> means that in the async</w:t>
      </w:r>
      <w:r>
        <w:rPr>
          <w:szCs w:val="22"/>
        </w:rPr>
        <w:t>hronous</w:t>
      </w:r>
      <w:r w:rsidRPr="00F71A73">
        <w:rPr>
          <w:szCs w:val="22"/>
        </w:rPr>
        <w:t xml:space="preserve"> DC mode, there is no pre-existing demand to have a fast interface across the blocks carrying dynamic information. </w:t>
      </w:r>
      <w:r w:rsidR="008D7518">
        <w:rPr>
          <w:szCs w:val="22"/>
        </w:rPr>
        <w:t>Given that the gains of dynamic power sharing are unknown (and in fact, it can degrade system performance), adding this functionality is not justifiable.</w:t>
      </w:r>
    </w:p>
    <w:p w14:paraId="7FA815EC" w14:textId="59B23D1B" w:rsidR="00482262" w:rsidRPr="00B57D28" w:rsidRDefault="008D7518" w:rsidP="00214148">
      <w:pPr>
        <w:jc w:val="both"/>
        <w:rPr>
          <w:b/>
          <w:szCs w:val="22"/>
        </w:rPr>
      </w:pPr>
      <w:r w:rsidRPr="00D86F52">
        <w:rPr>
          <w:b/>
          <w:szCs w:val="22"/>
        </w:rPr>
        <w:t xml:space="preserve">Proposal 1: </w:t>
      </w:r>
      <w:r w:rsidR="00181FDA">
        <w:rPr>
          <w:b/>
          <w:szCs w:val="22"/>
        </w:rPr>
        <w:t xml:space="preserve">Due to the extra complication </w:t>
      </w:r>
      <w:r w:rsidR="00A053AF">
        <w:rPr>
          <w:b/>
          <w:szCs w:val="22"/>
        </w:rPr>
        <w:t>for UE implementation</w:t>
      </w:r>
      <w:r w:rsidR="00AF1730">
        <w:rPr>
          <w:b/>
          <w:szCs w:val="22"/>
        </w:rPr>
        <w:t xml:space="preserve"> as well as lack of performance benefit justification</w:t>
      </w:r>
      <w:r w:rsidR="00A053AF">
        <w:rPr>
          <w:b/>
          <w:szCs w:val="22"/>
        </w:rPr>
        <w:t>, d</w:t>
      </w:r>
      <w:r w:rsidRPr="00D86F52">
        <w:rPr>
          <w:b/>
          <w:szCs w:val="22"/>
        </w:rPr>
        <w:t>ynamic power sharing should not be supported for Rel. 16 NN-DC.</w:t>
      </w:r>
    </w:p>
    <w:p w14:paraId="0E07AC2D" w14:textId="4AD09731" w:rsidR="006838AD" w:rsidRPr="00DE44D6" w:rsidRDefault="000A1AA8" w:rsidP="006838AD">
      <w:pPr>
        <w:pStyle w:val="Heading1"/>
        <w:jc w:val="both"/>
        <w:rPr>
          <w:rFonts w:ascii="Times New Roman" w:hAnsi="Times New Roman"/>
        </w:rPr>
      </w:pPr>
      <w:r>
        <w:rPr>
          <w:rFonts w:ascii="Times New Roman" w:hAnsi="Times New Roman"/>
        </w:rPr>
        <w:t>Uplink Power Control Solution for Rel. 16 NN-DC</w:t>
      </w:r>
    </w:p>
    <w:p w14:paraId="4CF96C72" w14:textId="2BF7B32E" w:rsidR="001E634E" w:rsidRDefault="000B6B09" w:rsidP="002F714F">
      <w:pPr>
        <w:jc w:val="both"/>
      </w:pPr>
      <w:r>
        <w:t>As mentioned in the preceding section, a</w:t>
      </w:r>
      <w:r w:rsidR="005D5363" w:rsidRPr="005D5363">
        <w:t xml:space="preserve"> practical scheme for uplink power control should </w:t>
      </w:r>
      <w:r>
        <w:t>a</w:t>
      </w:r>
      <w:r w:rsidR="002F714F" w:rsidRPr="000B6B09">
        <w:t xml:space="preserve">llow a </w:t>
      </w:r>
      <w:proofErr w:type="spellStart"/>
      <w:r w:rsidR="002F714F" w:rsidRPr="000B6B09">
        <w:t>gNB</w:t>
      </w:r>
      <w:proofErr w:type="spellEnd"/>
      <w:r w:rsidR="002F714F" w:rsidRPr="000B6B09">
        <w:t xml:space="preserve"> to make scheduling decisions independently.</w:t>
      </w:r>
      <w:r w:rsidR="00AC3768">
        <w:t xml:space="preserve"> Satisfying this condition</w:t>
      </w:r>
      <w:r w:rsidR="001E634E">
        <w:t xml:space="preserve"> is desirable due to the fact that the </w:t>
      </w:r>
      <w:proofErr w:type="spellStart"/>
      <w:r w:rsidR="001E634E">
        <w:t>gNBs</w:t>
      </w:r>
      <w:proofErr w:type="spellEnd"/>
      <w:r w:rsidR="001E634E">
        <w:t xml:space="preserve"> are not necessarily aware of </w:t>
      </w:r>
      <w:proofErr w:type="spellStart"/>
      <w:r w:rsidR="001E634E">
        <w:t xml:space="preserve">each </w:t>
      </w:r>
      <w:proofErr w:type="gramStart"/>
      <w:r w:rsidR="001E634E">
        <w:t>others</w:t>
      </w:r>
      <w:proofErr w:type="spellEnd"/>
      <w:proofErr w:type="gramEnd"/>
      <w:r w:rsidR="001E634E">
        <w:t xml:space="preserve"> scheduling decisions (as discussed in the preceding section, this is the key difference between CA and DC.) Under condition (2), each </w:t>
      </w:r>
      <w:proofErr w:type="spellStart"/>
      <w:r w:rsidR="001E634E">
        <w:t>gNB</w:t>
      </w:r>
      <w:proofErr w:type="spellEnd"/>
      <w:r w:rsidR="001E634E">
        <w:t xml:space="preserve"> can make its scheduling decisions independently, and is certain that the UE’s uplink transmissions are not interrupted unless controlled by the same </w:t>
      </w:r>
      <w:proofErr w:type="spellStart"/>
      <w:r w:rsidR="001E634E">
        <w:t>gNB</w:t>
      </w:r>
      <w:proofErr w:type="spellEnd"/>
      <w:r w:rsidR="001E634E">
        <w:t xml:space="preserve">. The following solution </w:t>
      </w:r>
      <w:r w:rsidR="00AC3768">
        <w:t>allows for predictable network operation</w:t>
      </w:r>
      <w:r w:rsidR="001E634E">
        <w:t>:</w:t>
      </w:r>
    </w:p>
    <w:p w14:paraId="6AB5DA19" w14:textId="55DEDF2D" w:rsidR="006A1587" w:rsidRDefault="006A1587" w:rsidP="002F714F">
      <w:pPr>
        <w:jc w:val="both"/>
      </w:pPr>
      <w:r>
        <w:t>Under the proposed solution, from the network side, the following step should be taken for each UE:</w:t>
      </w:r>
    </w:p>
    <w:p w14:paraId="698BADE9" w14:textId="118B8717" w:rsidR="002F714F" w:rsidRDefault="006A1587" w:rsidP="006A1587">
      <w:pPr>
        <w:pStyle w:val="ListParagraph"/>
        <w:numPr>
          <w:ilvl w:val="0"/>
          <w:numId w:val="8"/>
        </w:numPr>
        <w:jc w:val="both"/>
        <w:rPr>
          <w:rFonts w:ascii="Times New Roman" w:hAnsi="Times New Roman"/>
          <w:sz w:val="20"/>
        </w:rPr>
      </w:pPr>
      <w:r w:rsidRPr="006A1587">
        <w:rPr>
          <w:rFonts w:ascii="Times New Roman" w:hAnsi="Times New Roman"/>
          <w:sz w:val="20"/>
        </w:rPr>
        <w:t xml:space="preserve">A UE should be configured with </w:t>
      </w:r>
      <w:r w:rsidR="00630F9B">
        <w:rPr>
          <w:rFonts w:ascii="Times New Roman" w:hAnsi="Times New Roman"/>
          <w:sz w:val="20"/>
        </w:rPr>
        <w:t>a set of</w:t>
      </w:r>
      <w:r w:rsidRPr="006A1587">
        <w:rPr>
          <w:rFonts w:ascii="Times New Roman" w:hAnsi="Times New Roman"/>
          <w:sz w:val="20"/>
        </w:rPr>
        <w:t xml:space="preserve"> maximum allowed powers for each cell group</w:t>
      </w:r>
      <w:r w:rsidR="0009389C">
        <w:rPr>
          <w:rFonts w:ascii="Times New Roman" w:hAnsi="Times New Roman"/>
          <w:sz w:val="20"/>
        </w:rPr>
        <w:t xml:space="preserve"> such that P_NR1 + P_NR2 &lt;= P_NN.</w:t>
      </w:r>
    </w:p>
    <w:p w14:paraId="547E0BD4" w14:textId="2F332CCC" w:rsidR="0009389C" w:rsidRDefault="0009389C" w:rsidP="006A1587">
      <w:pPr>
        <w:pStyle w:val="ListParagraph"/>
        <w:numPr>
          <w:ilvl w:val="0"/>
          <w:numId w:val="8"/>
        </w:numPr>
        <w:jc w:val="both"/>
        <w:rPr>
          <w:rFonts w:ascii="Times New Roman" w:hAnsi="Times New Roman"/>
          <w:sz w:val="20"/>
        </w:rPr>
      </w:pPr>
      <w:r>
        <w:rPr>
          <w:rFonts w:ascii="Times New Roman" w:hAnsi="Times New Roman"/>
          <w:sz w:val="20"/>
        </w:rPr>
        <w:t xml:space="preserve">Additionally, the UE can be configured with P_NR1’ and P_NR2’, which can each be equal to P_NN. In other words, P_NR1’+P_NR2’ &lt; = &gt; P_NN. </w:t>
      </w:r>
    </w:p>
    <w:p w14:paraId="4172B1D6" w14:textId="11F18949" w:rsidR="006A1587" w:rsidRDefault="006A1587" w:rsidP="006A1587">
      <w:pPr>
        <w:jc w:val="both"/>
      </w:pPr>
    </w:p>
    <w:p w14:paraId="7A2C8085" w14:textId="56EF1561" w:rsidR="006A1587" w:rsidRDefault="006A1587" w:rsidP="006A1587">
      <w:pPr>
        <w:jc w:val="both"/>
      </w:pPr>
      <w:r w:rsidRPr="00046296">
        <w:t xml:space="preserve">From the UE side, the following behavior </w:t>
      </w:r>
      <w:r w:rsidR="00476CEE">
        <w:t>is expected</w:t>
      </w:r>
      <w:r w:rsidRPr="00046296">
        <w:t>:</w:t>
      </w:r>
    </w:p>
    <w:p w14:paraId="2BDB6ECD" w14:textId="594A5810" w:rsidR="00046296" w:rsidRDefault="006A1587" w:rsidP="006A1587">
      <w:pPr>
        <w:pStyle w:val="ListParagraph"/>
        <w:numPr>
          <w:ilvl w:val="0"/>
          <w:numId w:val="9"/>
        </w:numPr>
        <w:jc w:val="both"/>
        <w:rPr>
          <w:rFonts w:ascii="Times New Roman" w:hAnsi="Times New Roman"/>
          <w:sz w:val="20"/>
        </w:rPr>
      </w:pPr>
      <w:r>
        <w:rPr>
          <w:rFonts w:ascii="Times New Roman" w:hAnsi="Times New Roman"/>
          <w:sz w:val="20"/>
        </w:rPr>
        <w:t xml:space="preserve">For the uplink transmission in cell group 1, the UE </w:t>
      </w:r>
      <w:r w:rsidR="00046296">
        <w:rPr>
          <w:rFonts w:ascii="Times New Roman" w:hAnsi="Times New Roman"/>
          <w:sz w:val="20"/>
        </w:rPr>
        <w:t xml:space="preserve">checks the semi-statically configured direction of the overlapping symbols of all serving cells of cell group 2. </w:t>
      </w:r>
      <w:r w:rsidR="00046296" w:rsidRPr="00167620">
        <w:rPr>
          <w:rFonts w:ascii="Times New Roman" w:hAnsi="Times New Roman"/>
          <w:sz w:val="20"/>
        </w:rPr>
        <w:t>If the direction of all the symbols is downlink</w:t>
      </w:r>
      <w:r w:rsidR="00046296">
        <w:rPr>
          <w:rFonts w:ascii="Times New Roman" w:hAnsi="Times New Roman"/>
          <w:sz w:val="20"/>
        </w:rPr>
        <w:t xml:space="preserve">, then the UE is certain that there will be no overlapping uplink transmission on the other </w:t>
      </w:r>
      <w:r w:rsidR="00167620">
        <w:rPr>
          <w:rFonts w:ascii="Times New Roman" w:hAnsi="Times New Roman"/>
          <w:sz w:val="20"/>
        </w:rPr>
        <w:t>cell</w:t>
      </w:r>
      <w:r w:rsidR="00046296">
        <w:rPr>
          <w:rFonts w:ascii="Times New Roman" w:hAnsi="Times New Roman"/>
          <w:sz w:val="20"/>
        </w:rPr>
        <w:t xml:space="preserve"> group. Hence, it chooses its maximum power </w:t>
      </w:r>
      <w:r w:rsidR="00046296">
        <w:rPr>
          <w:rFonts w:ascii="Times New Roman" w:hAnsi="Times New Roman"/>
          <w:sz w:val="20"/>
        </w:rPr>
        <w:lastRenderedPageBreak/>
        <w:t xml:space="preserve">associated with the serving group from set 1. Otherwise, if at least one symbol of any of the serving cells of the other serving group is configured as `uplink’ or `flexible’, then the UE selects the maximum power from set 2. </w:t>
      </w:r>
    </w:p>
    <w:p w14:paraId="3BCC78B0" w14:textId="77777777" w:rsidR="00046296" w:rsidRDefault="00046296" w:rsidP="00046296">
      <w:pPr>
        <w:jc w:val="both"/>
      </w:pPr>
    </w:p>
    <w:p w14:paraId="125B145F" w14:textId="5E94FABE" w:rsidR="00046296" w:rsidRDefault="00046296" w:rsidP="00046296"/>
    <w:p w14:paraId="2B639409" w14:textId="591A82D8" w:rsidR="00700DD5" w:rsidRDefault="0009389C" w:rsidP="00700DD5">
      <w:pPr>
        <w:keepNext/>
        <w:jc w:val="center"/>
      </w:pPr>
      <w:r>
        <w:object w:dxaOrig="16859" w:dyaOrig="8990" w14:anchorId="43EF8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251.5pt" o:ole="">
            <v:imagedata r:id="rId12" o:title=""/>
          </v:shape>
          <o:OLEObject Type="Embed" ProgID="Visio.Drawing.15" ShapeID="_x0000_i1025" DrawAspect="Content" ObjectID="_1627495340" r:id="rId13"/>
        </w:object>
      </w:r>
    </w:p>
    <w:p w14:paraId="1FA20839" w14:textId="389396DC" w:rsidR="009D02AC" w:rsidRDefault="00700DD5" w:rsidP="00034581">
      <w:pPr>
        <w:pStyle w:val="Caption"/>
        <w:jc w:val="center"/>
      </w:pPr>
      <w:r w:rsidRPr="001930F2">
        <w:t xml:space="preserve">Figure </w:t>
      </w:r>
      <w:r w:rsidR="0009389C">
        <w:rPr>
          <w:noProof/>
        </w:rPr>
        <w:t>1</w:t>
      </w:r>
      <w:r w:rsidRPr="001930F2">
        <w:t>: An illustration of the proposed uplink power control scheme.</w:t>
      </w:r>
    </w:p>
    <w:p w14:paraId="55980E3D" w14:textId="77777777" w:rsidR="009D02AC" w:rsidRDefault="009D02AC" w:rsidP="00F50711">
      <w:pPr>
        <w:jc w:val="both"/>
      </w:pPr>
    </w:p>
    <w:p w14:paraId="0999D1BE" w14:textId="109C7E3C" w:rsidR="00700DD5" w:rsidRDefault="00700DD5" w:rsidP="00F50711">
      <w:pPr>
        <w:jc w:val="both"/>
      </w:pPr>
      <w:r>
        <w:t xml:space="preserve">In the example shown in Figure </w:t>
      </w:r>
      <w:r w:rsidR="0009389C">
        <w:t>1</w:t>
      </w:r>
      <w:r>
        <w:t xml:space="preserve">, the semi-statically configured slot formats on serving cells of the first cell group are </w:t>
      </w:r>
      <w:r w:rsidR="00F725E5">
        <w:t>illustrated. Then, on CC3 and for PUSCH1, the direction of all the overlapping symbols of serving cells in CG1 is set to downlink. Hence, at the time of transmission of PUSCH1, the UE is certain that PUSCH1 does not collide with any uplink channel on CG1; thus, it</w:t>
      </w:r>
      <w:r w:rsidR="0009389C">
        <w:t>s uplink transmission power could be up to P_NR2’</w:t>
      </w:r>
      <w:r w:rsidR="00F725E5">
        <w:t xml:space="preserve">. Unlike PUSCH1, PUSCH2 collides with some symbols that are set as flexible on CC2 of CG1. Hence, collision could potentially </w:t>
      </w:r>
      <w:proofErr w:type="gramStart"/>
      <w:r w:rsidR="00F725E5">
        <w:t>takes</w:t>
      </w:r>
      <w:proofErr w:type="gramEnd"/>
      <w:r w:rsidR="00F725E5">
        <w:t xml:space="preserve"> place. For this reason, the maximum allowed power at the time of PUSCH2 </w:t>
      </w:r>
      <w:proofErr w:type="spellStart"/>
      <w:r w:rsidR="00F725E5">
        <w:t>transmission</w:t>
      </w:r>
      <w:r w:rsidR="0009389C">
        <w:t>could</w:t>
      </w:r>
      <w:proofErr w:type="spellEnd"/>
      <w:r w:rsidR="0009389C">
        <w:t xml:space="preserve"> be only up to P_NR2.</w:t>
      </w:r>
    </w:p>
    <w:p w14:paraId="499F41D8" w14:textId="4117DF1C" w:rsidR="00CF26FC" w:rsidRPr="00034581" w:rsidRDefault="00DB41E8" w:rsidP="00F50711">
      <w:pPr>
        <w:jc w:val="both"/>
        <w:rPr>
          <w:rFonts w:eastAsia="MS Mincho"/>
          <w:lang w:eastAsia="ja-JP"/>
        </w:rPr>
      </w:pPr>
      <w:r>
        <w:t xml:space="preserve">As evident from the description of the proposed scheme, </w:t>
      </w:r>
      <w:r w:rsidR="005102D7">
        <w:t xml:space="preserve">for setting the </w:t>
      </w:r>
      <w:r w:rsidR="00F50711">
        <w:t xml:space="preserve">maximum power per cell group, the UE can only rely on the semi-static configuration of the other serving cell; thus, a tight interaction between the two serving cells at the UE side is not required. From the </w:t>
      </w:r>
      <w:proofErr w:type="spellStart"/>
      <w:r w:rsidR="00F50711">
        <w:t>gNB’s</w:t>
      </w:r>
      <w:proofErr w:type="spellEnd"/>
      <w:r w:rsidR="00F50711">
        <w:t xml:space="preserve"> point of view, the scheduling decisions and power settings are </w:t>
      </w:r>
      <w:proofErr w:type="gramStart"/>
      <w:r w:rsidR="00F50711">
        <w:t>similar to</w:t>
      </w:r>
      <w:proofErr w:type="gramEnd"/>
      <w:r w:rsidR="00F50711">
        <w:t xml:space="preserve"> NR CA</w:t>
      </w:r>
      <w:r w:rsidR="00D94312">
        <w:t xml:space="preserve">, i.e., collisions and the resulting power scaling/dropping of the uplink channel in each group is </w:t>
      </w:r>
      <w:proofErr w:type="spellStart"/>
      <w:r w:rsidR="00D94312">
        <w:t>comepletely</w:t>
      </w:r>
      <w:proofErr w:type="spellEnd"/>
      <w:r w:rsidR="00D94312">
        <w:t xml:space="preserve"> under the control of the associated </w:t>
      </w:r>
      <w:proofErr w:type="spellStart"/>
      <w:r w:rsidR="00D94312">
        <w:t>gNB</w:t>
      </w:r>
      <w:proofErr w:type="spellEnd"/>
      <w:r w:rsidR="00D94312">
        <w:t xml:space="preserve">. For these two reasons, the proposed scheme is favorable from both the UE and </w:t>
      </w:r>
      <w:proofErr w:type="spellStart"/>
      <w:r w:rsidR="00D94312">
        <w:t>gNB’s</w:t>
      </w:r>
      <w:proofErr w:type="spellEnd"/>
      <w:r w:rsidR="00D94312">
        <w:t xml:space="preserve"> point of view. </w:t>
      </w:r>
      <w:r w:rsidR="00700DD5">
        <w:t xml:space="preserve">Further, the proposed scheme provides </w:t>
      </w:r>
      <w:proofErr w:type="gramStart"/>
      <w:r w:rsidR="00700DD5">
        <w:t>sufficient</w:t>
      </w:r>
      <w:proofErr w:type="gramEnd"/>
      <w:r w:rsidR="00700DD5">
        <w:t xml:space="preserve"> flexibility for the network to balance the priority of the two groups by appropriately setting the maximum powers in each group. </w:t>
      </w:r>
      <w:r w:rsidR="00CF26FC">
        <w:rPr>
          <w:rFonts w:eastAsia="MS Mincho" w:hint="eastAsia"/>
          <w:lang w:eastAsia="ja-JP"/>
        </w:rPr>
        <w:t>N</w:t>
      </w:r>
      <w:r w:rsidR="00CF26FC">
        <w:rPr>
          <w:rFonts w:eastAsia="MS Mincho"/>
          <w:lang w:eastAsia="ja-JP"/>
        </w:rPr>
        <w:t xml:space="preserve">ote that the semi-statically configured direction check is not necessary for serving cells in the other frequency range; e.g., for an uplink transmission on CG1 in FR1, semi-statically configured directions for serving cells on CG1 in FR1 are checked. </w:t>
      </w:r>
    </w:p>
    <w:p w14:paraId="1D136146" w14:textId="4BD7098A" w:rsidR="002E7AA9" w:rsidRDefault="007E0316" w:rsidP="00F50711">
      <w:pPr>
        <w:jc w:val="both"/>
      </w:pPr>
      <w:r>
        <w:t>Based on the above discussions, we propose:</w:t>
      </w:r>
    </w:p>
    <w:p w14:paraId="384BC4EF" w14:textId="0406BD77" w:rsidR="002E7AA9" w:rsidRDefault="007E0316" w:rsidP="002E7AA9">
      <w:pPr>
        <w:jc w:val="both"/>
        <w:rPr>
          <w:b/>
        </w:rPr>
      </w:pPr>
      <w:r w:rsidRPr="007E0316">
        <w:rPr>
          <w:b/>
        </w:rPr>
        <w:t xml:space="preserve">Proposal </w:t>
      </w:r>
      <w:r w:rsidR="008D7518">
        <w:rPr>
          <w:b/>
        </w:rPr>
        <w:t>2</w:t>
      </w:r>
      <w:r w:rsidRPr="007E0316">
        <w:rPr>
          <w:b/>
        </w:rPr>
        <w:t xml:space="preserve">: </w:t>
      </w:r>
      <w:r w:rsidR="002E7AA9">
        <w:rPr>
          <w:b/>
        </w:rPr>
        <w:t>For uplink power control of synchronous NN-DC, the UE is configured with:</w:t>
      </w:r>
    </w:p>
    <w:p w14:paraId="1D1766F5" w14:textId="77777777" w:rsidR="009F51E5" w:rsidRPr="00D86F52" w:rsidRDefault="009F51E5" w:rsidP="009F51E5">
      <w:pPr>
        <w:pStyle w:val="ListParagraph"/>
        <w:numPr>
          <w:ilvl w:val="0"/>
          <w:numId w:val="9"/>
        </w:numPr>
        <w:jc w:val="both"/>
        <w:rPr>
          <w:rFonts w:ascii="Times New Roman" w:hAnsi="Times New Roman"/>
          <w:b/>
          <w:sz w:val="20"/>
        </w:rPr>
      </w:pPr>
      <w:r w:rsidRPr="00D86F52">
        <w:rPr>
          <w:rFonts w:ascii="Times New Roman" w:hAnsi="Times New Roman"/>
          <w:b/>
          <w:sz w:val="20"/>
        </w:rPr>
        <w:t>A UE should be configured with a set of maximum allowed powers for each cell group such that P_NR1 + P_NR2 &lt;= P_NN.</w:t>
      </w:r>
    </w:p>
    <w:p w14:paraId="60CAA4DB" w14:textId="77ED5B35" w:rsidR="00C9740E" w:rsidRPr="00D86F52" w:rsidRDefault="009F51E5" w:rsidP="00034581">
      <w:pPr>
        <w:pStyle w:val="ListParagraph"/>
        <w:jc w:val="both"/>
        <w:rPr>
          <w:rFonts w:ascii="Times New Roman" w:hAnsi="Times New Roman"/>
          <w:b/>
          <w:sz w:val="20"/>
        </w:rPr>
      </w:pPr>
      <w:r w:rsidRPr="00D86F52">
        <w:rPr>
          <w:rFonts w:ascii="Times New Roman" w:hAnsi="Times New Roman"/>
          <w:b/>
          <w:sz w:val="20"/>
        </w:rPr>
        <w:t xml:space="preserve">Additionally, the UE can be configured with P_NR1’ and P_NR2’, which can each be equal to P_NN. In other words, P_NR1’+P_NR2’ &lt; = &gt; P_NN. </w:t>
      </w:r>
    </w:p>
    <w:p w14:paraId="43D6581B" w14:textId="77777777" w:rsidR="009F51E5" w:rsidRPr="00034581" w:rsidRDefault="009F51E5" w:rsidP="00034581">
      <w:pPr>
        <w:pStyle w:val="ListParagraph"/>
        <w:jc w:val="both"/>
        <w:rPr>
          <w:b/>
        </w:rPr>
      </w:pPr>
    </w:p>
    <w:p w14:paraId="374811E6" w14:textId="77777777" w:rsidR="009F51E5" w:rsidRPr="009F51E5" w:rsidRDefault="009F51E5" w:rsidP="009F51E5">
      <w:pPr>
        <w:jc w:val="both"/>
        <w:rPr>
          <w:b/>
        </w:rPr>
      </w:pPr>
      <w:r w:rsidRPr="009F51E5">
        <w:rPr>
          <w:b/>
        </w:rPr>
        <w:t>From the UE side, the following behavior is expected:</w:t>
      </w:r>
    </w:p>
    <w:p w14:paraId="2053E4DD" w14:textId="55F08E27" w:rsidR="002E7AA9" w:rsidRDefault="009F51E5" w:rsidP="00034581">
      <w:pPr>
        <w:pStyle w:val="ListParagraph"/>
        <w:numPr>
          <w:ilvl w:val="0"/>
          <w:numId w:val="9"/>
        </w:numPr>
        <w:jc w:val="both"/>
      </w:pPr>
      <w:r w:rsidRPr="009F51E5">
        <w:rPr>
          <w:rFonts w:ascii="Times New Roman" w:hAnsi="Times New Roman"/>
          <w:b/>
          <w:sz w:val="20"/>
        </w:rPr>
        <w:lastRenderedPageBreak/>
        <w:t>For the uplink transmission in cell group 1, the UE checks the semi-statically configured direction of the overlapping symbols of all serving cells of cell group 2</w:t>
      </w:r>
      <w:r w:rsidR="00CA152C">
        <w:rPr>
          <w:rFonts w:ascii="Times New Roman" w:hAnsi="Times New Roman"/>
          <w:b/>
          <w:sz w:val="20"/>
        </w:rPr>
        <w:t xml:space="preserve"> and vice versa</w:t>
      </w:r>
      <w:r w:rsidRPr="009F51E5">
        <w:rPr>
          <w:rFonts w:ascii="Times New Roman" w:hAnsi="Times New Roman"/>
          <w:b/>
          <w:sz w:val="20"/>
        </w:rPr>
        <w:t xml:space="preserve">. </w:t>
      </w:r>
      <w:r w:rsidR="00CA152C">
        <w:rPr>
          <w:rFonts w:ascii="Times New Roman" w:hAnsi="Times New Roman"/>
          <w:b/>
          <w:sz w:val="20"/>
        </w:rPr>
        <w:t xml:space="preserve">The UE chooses the maximum power allowed per cell group based on whether its uplink transmission collides </w:t>
      </w:r>
      <w:r w:rsidR="004F153B">
        <w:rPr>
          <w:rFonts w:ascii="Times New Roman" w:hAnsi="Times New Roman"/>
          <w:b/>
          <w:sz w:val="20"/>
        </w:rPr>
        <w:t>with only semi-static ‘DL’ symbols, or with semi-static ‘UL’ and ‘flexible’ symbols.</w:t>
      </w:r>
      <w:r w:rsidR="00CA152C">
        <w:rPr>
          <w:rFonts w:ascii="Times New Roman" w:hAnsi="Times New Roman"/>
          <w:b/>
          <w:sz w:val="20"/>
        </w:rPr>
        <w:t xml:space="preserve"> </w:t>
      </w:r>
      <w:r w:rsidRPr="009F51E5">
        <w:rPr>
          <w:rFonts w:ascii="Times New Roman" w:hAnsi="Times New Roman"/>
          <w:b/>
          <w:sz w:val="20"/>
        </w:rPr>
        <w:t xml:space="preserve"> </w:t>
      </w:r>
    </w:p>
    <w:p w14:paraId="056595DB" w14:textId="2B9B6B43" w:rsidR="00335267" w:rsidRDefault="00335267" w:rsidP="00335267">
      <w:pPr>
        <w:pStyle w:val="Heading1"/>
        <w:jc w:val="both"/>
        <w:rPr>
          <w:rFonts w:ascii="Times New Roman" w:hAnsi="Times New Roman"/>
        </w:rPr>
      </w:pPr>
      <w:r>
        <w:rPr>
          <w:rFonts w:ascii="Times New Roman" w:hAnsi="Times New Roman"/>
        </w:rPr>
        <w:t>Analysis of Dynamic Power Control Schemes</w:t>
      </w:r>
    </w:p>
    <w:p w14:paraId="0B8CF3D1" w14:textId="4CA06853" w:rsidR="00995C5C" w:rsidRDefault="00A85F04" w:rsidP="002E7AA9">
      <w:pPr>
        <w:jc w:val="both"/>
        <w:rPr>
          <w:rFonts w:eastAsia="MS Mincho"/>
          <w:lang w:eastAsia="ja-JP"/>
        </w:rPr>
      </w:pPr>
      <w:r>
        <w:rPr>
          <w:rFonts w:eastAsia="MS Mincho"/>
          <w:lang w:eastAsia="ja-JP"/>
        </w:rPr>
        <w:t>At the</w:t>
      </w:r>
      <w:r w:rsidR="00995C5C">
        <w:rPr>
          <w:rFonts w:eastAsia="MS Mincho"/>
          <w:lang w:eastAsia="ja-JP"/>
        </w:rPr>
        <w:t xml:space="preserve"> RAN1#97 meeting, </w:t>
      </w:r>
      <w:r>
        <w:rPr>
          <w:rFonts w:eastAsia="MS Mincho"/>
          <w:lang w:eastAsia="ja-JP"/>
        </w:rPr>
        <w:t>following proposal has been presented in the feature lead summary [1]:</w:t>
      </w:r>
    </w:p>
    <w:tbl>
      <w:tblPr>
        <w:tblStyle w:val="TableGrid"/>
        <w:tblW w:w="0" w:type="auto"/>
        <w:tblLook w:val="04A0" w:firstRow="1" w:lastRow="0" w:firstColumn="1" w:lastColumn="0" w:noHBand="0" w:noVBand="1"/>
      </w:tblPr>
      <w:tblGrid>
        <w:gridCol w:w="9962"/>
      </w:tblGrid>
      <w:tr w:rsidR="00A85F04" w14:paraId="72A50E87" w14:textId="77777777" w:rsidTr="00A85F04">
        <w:tc>
          <w:tcPr>
            <w:tcW w:w="9962" w:type="dxa"/>
          </w:tcPr>
          <w:p w14:paraId="68100CFB" w14:textId="77777777" w:rsidR="00A85F04" w:rsidRPr="00E8420D" w:rsidRDefault="00A85F04" w:rsidP="00A85F04">
            <w:pPr>
              <w:pStyle w:val="ListParagraph"/>
              <w:numPr>
                <w:ilvl w:val="0"/>
                <w:numId w:val="15"/>
              </w:numPr>
              <w:overflowPunct w:val="0"/>
              <w:autoSpaceDE w:val="0"/>
              <w:autoSpaceDN w:val="0"/>
              <w:adjustRightInd w:val="0"/>
              <w:ind w:left="360"/>
              <w:contextualSpacing/>
              <w:textAlignment w:val="baseline"/>
              <w:rPr>
                <w:rFonts w:ascii="Times" w:hAnsi="Times" w:cs="Times"/>
                <w:sz w:val="20"/>
              </w:rPr>
            </w:pPr>
            <w:r w:rsidRPr="00E8420D">
              <w:rPr>
                <w:rFonts w:ascii="Times" w:hAnsi="Times" w:cs="Times"/>
                <w:sz w:val="20"/>
              </w:rPr>
              <w:t xml:space="preserve">When UE is configured with </w:t>
            </w:r>
            <m:oMath>
              <m:sSub>
                <m:sSubPr>
                  <m:ctrlPr>
                    <w:rPr>
                      <w:rFonts w:ascii="Cambria Math" w:hAnsi="Cambria Math" w:cs="Times"/>
                      <w:i/>
                      <w:sz w:val="20"/>
                    </w:rPr>
                  </m:ctrlPr>
                </m:sSubPr>
                <m:e>
                  <m:r>
                    <w:rPr>
                      <w:rFonts w:ascii="Cambria Math" w:hAnsi="Cambria Math" w:cs="Times"/>
                      <w:sz w:val="20"/>
                    </w:rPr>
                    <m:t>P</m:t>
                  </m:r>
                </m:e>
                <m:sub>
                  <m:r>
                    <w:rPr>
                      <w:rFonts w:ascii="Cambria Math" w:hAnsi="Cambria Math" w:cs="Times"/>
                      <w:sz w:val="20"/>
                    </w:rPr>
                    <m:t>MCG</m:t>
                  </m:r>
                </m:sub>
              </m:sSub>
              <m:r>
                <w:rPr>
                  <w:rFonts w:ascii="Cambria Math" w:hAnsi="Cambria Math" w:cs="Times"/>
                  <w:sz w:val="20"/>
                </w:rPr>
                <m:t>+</m:t>
              </m:r>
              <m:sSub>
                <m:sSubPr>
                  <m:ctrlPr>
                    <w:rPr>
                      <w:rFonts w:ascii="Cambria Math" w:hAnsi="Cambria Math" w:cs="Times"/>
                      <w:i/>
                      <w:sz w:val="20"/>
                    </w:rPr>
                  </m:ctrlPr>
                </m:sSubPr>
                <m:e>
                  <m:r>
                    <w:rPr>
                      <w:rFonts w:ascii="Cambria Math" w:hAnsi="Cambria Math" w:cs="Times"/>
                      <w:sz w:val="20"/>
                    </w:rPr>
                    <m:t>P</m:t>
                  </m:r>
                </m:e>
                <m:sub>
                  <m:r>
                    <w:rPr>
                      <w:rFonts w:ascii="Cambria Math" w:hAnsi="Cambria Math" w:cs="Times"/>
                      <w:sz w:val="20"/>
                    </w:rPr>
                    <m:t>SCG</m:t>
                  </m:r>
                </m:sub>
              </m:sSub>
              <m:r>
                <w:rPr>
                  <w:rFonts w:ascii="Cambria Math" w:hAnsi="Cambria Math" w:cs="Times"/>
                  <w:sz w:val="20"/>
                </w:rPr>
                <m:t>&gt;</m:t>
              </m:r>
              <m:sSubSup>
                <m:sSubSupPr>
                  <m:ctrlPr>
                    <w:rPr>
                      <w:rFonts w:ascii="Cambria Math" w:hAnsi="Cambria Math" w:cs="Times"/>
                      <w:i/>
                      <w:sz w:val="20"/>
                    </w:rPr>
                  </m:ctrlPr>
                </m:sSubSupPr>
                <m:e>
                  <m:r>
                    <w:rPr>
                      <w:rFonts w:ascii="Cambria Math" w:hAnsi="Cambria Math" w:cs="Times"/>
                      <w:sz w:val="20"/>
                    </w:rPr>
                    <m:t>P</m:t>
                  </m:r>
                </m:e>
                <m:sub>
                  <m:r>
                    <w:rPr>
                      <w:rFonts w:ascii="Cambria Math" w:hAnsi="Cambria Math" w:cs="Times"/>
                      <w:sz w:val="20"/>
                    </w:rPr>
                    <m:t>Total</m:t>
                  </m:r>
                </m:sub>
                <m:sup>
                  <m:r>
                    <w:rPr>
                      <w:rFonts w:ascii="Cambria Math" w:hAnsi="Cambria Math" w:cs="Times"/>
                      <w:sz w:val="20"/>
                    </w:rPr>
                    <m:t>NR-NR DC</m:t>
                  </m:r>
                </m:sup>
              </m:sSubSup>
              <m:r>
                <m:rPr>
                  <m:sty m:val="p"/>
                </m:rPr>
                <w:rPr>
                  <w:rFonts w:ascii="Cambria Math" w:hAnsi="Cambria Math" w:cs="Times"/>
                  <w:sz w:val="20"/>
                </w:rPr>
                <m:t xml:space="preserve">  </m:t>
              </m:r>
            </m:oMath>
            <w:r w:rsidRPr="00E8420D">
              <w:rPr>
                <w:rFonts w:ascii="Times" w:hAnsi="Times" w:cs="Times"/>
                <w:sz w:val="20"/>
              </w:rPr>
              <w:t xml:space="preserve"> (i.e. dynamic power sharing operation) for NN-DC </w:t>
            </w:r>
          </w:p>
          <w:p w14:paraId="4ACEE395" w14:textId="77777777" w:rsidR="00A85F04" w:rsidRPr="00E8420D" w:rsidRDefault="00A85F04" w:rsidP="00A85F04">
            <w:pPr>
              <w:pStyle w:val="ListParagraph"/>
              <w:numPr>
                <w:ilvl w:val="0"/>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The prioritization rule for UL channels in case of power-limited is as follows </w:t>
            </w:r>
          </w:p>
          <w:p w14:paraId="7DFDA244"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Alt.1: MCG&gt;SCG, and then apply Rel-15 rule for each CG. </w:t>
            </w:r>
          </w:p>
          <w:p w14:paraId="0647146D"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Alt.2: Reusing Rel-15 CA rule across CCs of CGs </w:t>
            </w:r>
          </w:p>
          <w:p w14:paraId="6FE747AD"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Alt.3: CG prioritization is determined by time pattern or dynamic indication, and then apply Rel-15 rule with potential update considering URLLC priority for each CG.</w:t>
            </w:r>
          </w:p>
          <w:p w14:paraId="16B5ACE3"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Note that the above prioritization order does not impact on the minimum guaranteed power if it is agreed to be supported.</w:t>
            </w:r>
          </w:p>
          <w:p w14:paraId="52B64FD0" w14:textId="77777777" w:rsidR="00A85F04" w:rsidRPr="00E8420D" w:rsidRDefault="00A85F04" w:rsidP="00A85F04">
            <w:pPr>
              <w:pStyle w:val="ListParagraph"/>
              <w:numPr>
                <w:ilvl w:val="0"/>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FFS: </w:t>
            </w:r>
          </w:p>
          <w:p w14:paraId="3720C61D"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Following power prioritization rule is applied either Alt.1, Alt.2 or Alt.3 that is agreed. </w:t>
            </w:r>
          </w:p>
          <w:p w14:paraId="7F5D216B" w14:textId="77777777" w:rsidR="00A85F04" w:rsidRPr="00E8420D" w:rsidRDefault="00A85F04" w:rsidP="00A85F04">
            <w:pPr>
              <w:pStyle w:val="ListParagraph"/>
              <w:numPr>
                <w:ilvl w:val="2"/>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If URLLC transmission happens at only one CG, URLLC transmission has higher priority than the others  </w:t>
            </w:r>
          </w:p>
          <w:p w14:paraId="32D812BD" w14:textId="77777777" w:rsidR="00A85F04" w:rsidRPr="00E8420D" w:rsidRDefault="00A85F04" w:rsidP="00A85F04">
            <w:pPr>
              <w:pStyle w:val="ListParagraph"/>
              <w:numPr>
                <w:ilvl w:val="0"/>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The following is considered regarding ‘look-ahead’ operation </w:t>
            </w:r>
          </w:p>
          <w:p w14:paraId="2653A2B8"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Alt.1: To compute the transmit power for MCG (or SCG) UL transmission starting at time T0, UE checks for PDCCH(s) received before time T0-T_offset that trigger an overlapping SCG (or MCG) UL transmission. </w:t>
            </w:r>
          </w:p>
          <w:p w14:paraId="71964050" w14:textId="77777777" w:rsidR="00A85F04" w:rsidRPr="00E8420D" w:rsidRDefault="00A85F04" w:rsidP="00A85F04">
            <w:pPr>
              <w:pStyle w:val="ListParagraph"/>
              <w:numPr>
                <w:ilvl w:val="2"/>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FFS on the exact value of </w:t>
            </w:r>
            <w:proofErr w:type="spellStart"/>
            <w:r w:rsidRPr="00E8420D">
              <w:rPr>
                <w:rFonts w:ascii="Times" w:hAnsi="Times" w:cs="Times"/>
                <w:i/>
                <w:sz w:val="20"/>
              </w:rPr>
              <w:t>T_offset</w:t>
            </w:r>
            <w:proofErr w:type="spellEnd"/>
            <w:r w:rsidRPr="00E8420D">
              <w:rPr>
                <w:rFonts w:ascii="Times" w:hAnsi="Times" w:cs="Times"/>
                <w:i/>
                <w:sz w:val="20"/>
              </w:rPr>
              <w:t xml:space="preserve">. </w:t>
            </w:r>
          </w:p>
          <w:p w14:paraId="2C2E243E" w14:textId="77777777" w:rsidR="00A85F04" w:rsidRPr="00E8420D" w:rsidRDefault="00A85F04" w:rsidP="00A85F04">
            <w:pPr>
              <w:pStyle w:val="ListParagraph"/>
              <w:numPr>
                <w:ilvl w:val="1"/>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rPr>
              <w:t xml:space="preserve">Alt.2: </w:t>
            </w:r>
            <w:proofErr w:type="gramStart"/>
            <w:r w:rsidRPr="00E8420D">
              <w:rPr>
                <w:rFonts w:ascii="Times" w:hAnsi="Times" w:cs="Times"/>
                <w:i/>
                <w:sz w:val="20"/>
              </w:rPr>
              <w:t>Similar to</w:t>
            </w:r>
            <w:proofErr w:type="gramEnd"/>
            <w:r w:rsidRPr="00E8420D">
              <w:rPr>
                <w:rFonts w:ascii="Times" w:hAnsi="Times" w:cs="Times"/>
                <w:i/>
                <w:sz w:val="20"/>
              </w:rPr>
              <w:t xml:space="preserve"> EN-DC, the SCG power is scaled dependent of the power scheduled for MCG.</w:t>
            </w:r>
          </w:p>
          <w:p w14:paraId="013116A6" w14:textId="77777777" w:rsidR="00A85F04" w:rsidRPr="00E8420D" w:rsidRDefault="00A85F04" w:rsidP="00A85F04">
            <w:pPr>
              <w:pStyle w:val="ListParagraph"/>
              <w:numPr>
                <w:ilvl w:val="2"/>
                <w:numId w:val="16"/>
              </w:numPr>
              <w:overflowPunct w:val="0"/>
              <w:autoSpaceDE w:val="0"/>
              <w:autoSpaceDN w:val="0"/>
              <w:adjustRightInd w:val="0"/>
              <w:contextualSpacing/>
              <w:textAlignment w:val="baseline"/>
              <w:rPr>
                <w:rFonts w:ascii="Times" w:hAnsi="Times" w:cs="Times"/>
                <w:i/>
                <w:sz w:val="20"/>
              </w:rPr>
            </w:pPr>
            <w:r w:rsidRPr="00E8420D">
              <w:rPr>
                <w:rFonts w:ascii="Times" w:hAnsi="Times" w:cs="Times"/>
                <w:i/>
                <w:sz w:val="20"/>
                <w:lang w:eastAsia="zh-CN"/>
              </w:rPr>
              <w:t xml:space="preserve">The MCG scheduling timing is slowed down as compared to SCG. </w:t>
            </w:r>
            <w:r w:rsidRPr="00E8420D">
              <w:rPr>
                <w:rFonts w:ascii="Times" w:hAnsi="Times" w:cs="Times"/>
                <w:i/>
                <w:sz w:val="20"/>
              </w:rPr>
              <w:t xml:space="preserve"> </w:t>
            </w:r>
          </w:p>
          <w:p w14:paraId="1CB8A52A" w14:textId="1ABFA48E" w:rsidR="00A85F04" w:rsidRPr="00034581" w:rsidRDefault="00A85F04" w:rsidP="00034581">
            <w:pPr>
              <w:pStyle w:val="ListParagraph"/>
              <w:numPr>
                <w:ilvl w:val="1"/>
                <w:numId w:val="16"/>
              </w:numPr>
              <w:overflowPunct w:val="0"/>
              <w:autoSpaceDE w:val="0"/>
              <w:autoSpaceDN w:val="0"/>
              <w:adjustRightInd w:val="0"/>
              <w:contextualSpacing/>
              <w:textAlignment w:val="baseline"/>
              <w:rPr>
                <w:rFonts w:ascii="Times" w:hAnsi="Times" w:cs="Times"/>
                <w:i/>
              </w:rPr>
            </w:pPr>
            <w:r w:rsidRPr="00E8420D">
              <w:rPr>
                <w:rFonts w:ascii="Times" w:hAnsi="Times" w:cs="Times"/>
                <w:i/>
                <w:sz w:val="20"/>
              </w:rPr>
              <w:t>Alt.3: Per transmission occasion, the sum power over all serving cells of MCG is computed, and the sum power is passed to SCG. The SCG then determines its sum available power in that occasion. Per CG, then power is distributed according to the NR CA priority rules</w:t>
            </w:r>
          </w:p>
        </w:tc>
      </w:tr>
    </w:tbl>
    <w:p w14:paraId="1947D009" w14:textId="160820FE" w:rsidR="00A85F04" w:rsidRDefault="00A85F04" w:rsidP="002E7AA9">
      <w:pPr>
        <w:jc w:val="both"/>
        <w:rPr>
          <w:rFonts w:eastAsia="MS Mincho"/>
          <w:lang w:eastAsia="ja-JP"/>
        </w:rPr>
      </w:pPr>
    </w:p>
    <w:p w14:paraId="50E67A87" w14:textId="146CFD45" w:rsidR="004972FF" w:rsidRPr="004972FF" w:rsidRDefault="004972FF" w:rsidP="002E7AA9">
      <w:pPr>
        <w:jc w:val="both"/>
        <w:rPr>
          <w:rFonts w:eastAsia="MS Mincho"/>
          <w:lang w:eastAsia="ja-JP"/>
        </w:rPr>
      </w:pPr>
      <w:r w:rsidRPr="00596F0F">
        <w:t>In the remainder of this section, we provide some considerations on the proposed dynamic power control schemes.</w:t>
      </w:r>
    </w:p>
    <w:p w14:paraId="151E0551" w14:textId="1FD6BE80" w:rsidR="00A85F04" w:rsidRDefault="00A85F04" w:rsidP="002E7AA9">
      <w:pPr>
        <w:jc w:val="both"/>
        <w:rPr>
          <w:rFonts w:eastAsia="MS Mincho"/>
          <w:lang w:eastAsia="ja-JP"/>
        </w:rPr>
      </w:pPr>
      <w:r w:rsidRPr="00034581">
        <w:rPr>
          <w:rFonts w:eastAsia="MS Mincho"/>
          <w:b/>
          <w:u w:val="single"/>
          <w:lang w:eastAsia="ja-JP"/>
        </w:rPr>
        <w:t>On the prioritization rule for UL channels in case of power-limited</w:t>
      </w:r>
      <w:r>
        <w:rPr>
          <w:rFonts w:eastAsia="MS Mincho"/>
          <w:lang w:eastAsia="ja-JP"/>
        </w:rPr>
        <w:t xml:space="preserve">: With Alt. 2, </w:t>
      </w:r>
      <w:r w:rsidRPr="00A85F04">
        <w:rPr>
          <w:rFonts w:eastAsia="MS Mincho"/>
          <w:lang w:eastAsia="ja-JP"/>
        </w:rPr>
        <w:t xml:space="preserve">the UE has to check the type of the channels and their contents on both </w:t>
      </w:r>
      <w:proofErr w:type="gramStart"/>
      <w:r w:rsidRPr="00A85F04">
        <w:rPr>
          <w:rFonts w:eastAsia="MS Mincho"/>
          <w:lang w:eastAsia="ja-JP"/>
        </w:rPr>
        <w:t>CGs, and</w:t>
      </w:r>
      <w:proofErr w:type="gramEnd"/>
      <w:r w:rsidRPr="00A85F04">
        <w:rPr>
          <w:rFonts w:eastAsia="MS Mincho"/>
          <w:lang w:eastAsia="ja-JP"/>
        </w:rPr>
        <w:t xml:space="preserve"> go through a list of priority rules that alternates between the two CGs. This approach will incur a ping-pong impact between the </w:t>
      </w:r>
      <w:proofErr w:type="gramStart"/>
      <w:r w:rsidRPr="00A85F04">
        <w:rPr>
          <w:rFonts w:eastAsia="MS Mincho"/>
          <w:lang w:eastAsia="ja-JP"/>
        </w:rPr>
        <w:t>two cell</w:t>
      </w:r>
      <w:proofErr w:type="gramEnd"/>
      <w:r w:rsidRPr="00A85F04">
        <w:rPr>
          <w:rFonts w:eastAsia="MS Mincho"/>
          <w:lang w:eastAsia="ja-JP"/>
        </w:rPr>
        <w:t xml:space="preserve"> group and complicate</w:t>
      </w:r>
      <w:r w:rsidR="00854145">
        <w:rPr>
          <w:rFonts w:eastAsia="MS Mincho"/>
          <w:lang w:eastAsia="ja-JP"/>
        </w:rPr>
        <w:t>s</w:t>
      </w:r>
      <w:r w:rsidRPr="00A85F04">
        <w:rPr>
          <w:rFonts w:eastAsia="MS Mincho"/>
          <w:lang w:eastAsia="ja-JP"/>
        </w:rPr>
        <w:t xml:space="preserve"> the UE implementation. Alt</w:t>
      </w:r>
      <w:r>
        <w:rPr>
          <w:rFonts w:eastAsia="MS Mincho"/>
          <w:lang w:eastAsia="ja-JP"/>
        </w:rPr>
        <w:t>. 1</w:t>
      </w:r>
      <w:r w:rsidRPr="00A85F04">
        <w:rPr>
          <w:rFonts w:eastAsia="MS Mincho"/>
          <w:lang w:eastAsia="ja-JP"/>
        </w:rPr>
        <w:t>, however, circumvent</w:t>
      </w:r>
      <w:r w:rsidR="00854145">
        <w:rPr>
          <w:rFonts w:eastAsia="MS Mincho"/>
          <w:lang w:eastAsia="ja-JP"/>
        </w:rPr>
        <w:t>s</w:t>
      </w:r>
      <w:r w:rsidRPr="00A85F04">
        <w:rPr>
          <w:rFonts w:eastAsia="MS Mincho"/>
          <w:lang w:eastAsia="ja-JP"/>
        </w:rPr>
        <w:t xml:space="preserve"> this issue since only a one-time exchange of information is expected between the two cells</w:t>
      </w:r>
      <w:r>
        <w:rPr>
          <w:rFonts w:eastAsia="MS Mincho"/>
          <w:lang w:eastAsia="ja-JP"/>
        </w:rPr>
        <w:t>.</w:t>
      </w:r>
    </w:p>
    <w:p w14:paraId="3016985F" w14:textId="77777777" w:rsidR="00A85F04" w:rsidRDefault="00A85F04" w:rsidP="00A85F04">
      <w:pPr>
        <w:jc w:val="both"/>
      </w:pPr>
      <w:r w:rsidRPr="00034581">
        <w:rPr>
          <w:rFonts w:eastAsia="MS Mincho"/>
          <w:b/>
          <w:u w:val="single"/>
          <w:lang w:eastAsia="ja-JP"/>
        </w:rPr>
        <w:t>On the look-ahead operation</w:t>
      </w:r>
      <w:r>
        <w:rPr>
          <w:rFonts w:eastAsia="MS Mincho"/>
          <w:lang w:eastAsia="ja-JP"/>
        </w:rPr>
        <w:t xml:space="preserve">: Alt. 1 </w:t>
      </w:r>
      <w:r w:rsidRPr="00B541D9">
        <w:t>enable</w:t>
      </w:r>
      <w:r>
        <w:rPr>
          <w:rFonts w:eastAsia="MS Mincho"/>
          <w:lang w:eastAsia="ja-JP"/>
        </w:rPr>
        <w:t>s</w:t>
      </w:r>
      <w:r w:rsidRPr="00B541D9">
        <w:t xml:space="preserve"> a look-ahead operation by defining timeline rules </w:t>
      </w:r>
      <w:proofErr w:type="gramStart"/>
      <w:r w:rsidRPr="00B541D9">
        <w:t>similar to</w:t>
      </w:r>
      <w:proofErr w:type="gramEnd"/>
      <w:r w:rsidRPr="00B541D9">
        <w:t xml:space="preserve"> those of the Rel. 15 UCI multiplexing scheme. </w:t>
      </w:r>
      <w:r>
        <w:t xml:space="preserve">In addition to the fact that the performance gains from allowing the look-ahead operation are unknown, this approach complicates the UE implementation unnecessarily. Additionally, in order to keep the phase continuity across the overlapping channels, a certain timeline should be satisfied. However, since the uplink transmissions are scheduled by different </w:t>
      </w:r>
      <w:proofErr w:type="spellStart"/>
      <w:r>
        <w:t>gNBs</w:t>
      </w:r>
      <w:proofErr w:type="spellEnd"/>
      <w:r>
        <w:t>, it is not always possible to ensure the timeline; in other words, the entire operation is opportunistic.</w:t>
      </w:r>
      <w:r w:rsidRPr="00A85F04">
        <w:t xml:space="preserve"> </w:t>
      </w:r>
    </w:p>
    <w:p w14:paraId="1C5BB92B" w14:textId="12C354BC" w:rsidR="00A85F04" w:rsidRPr="00034581" w:rsidRDefault="00A85F04" w:rsidP="002E7AA9">
      <w:pPr>
        <w:jc w:val="both"/>
        <w:rPr>
          <w:rFonts w:eastAsia="MS Mincho"/>
          <w:lang w:eastAsia="ja-JP"/>
        </w:rPr>
      </w:pPr>
      <w:r>
        <w:t>Alt. 2 i</w:t>
      </w:r>
      <w:r w:rsidRPr="00F720DC">
        <w:t>s proposed under the assumption that the main use case of NR-NR DC is to use the MCG for control and mobility, while the SCG is used for data transmission. In such a case, it should be possible to “slow down” the UE processing on the MCG such that its uplink power decisions are available at the SCG</w:t>
      </w:r>
      <w:r>
        <w:t xml:space="preserve"> when the UE </w:t>
      </w:r>
      <w:proofErr w:type="gramStart"/>
      <w:r>
        <w:t>has to</w:t>
      </w:r>
      <w:proofErr w:type="gramEnd"/>
      <w:r>
        <w:t xml:space="preserve"> allocate the power to SCG’s uplink transmissions. </w:t>
      </w:r>
      <w:proofErr w:type="gramStart"/>
      <w:r>
        <w:t>In particular, this</w:t>
      </w:r>
      <w:proofErr w:type="gramEnd"/>
      <w:r>
        <w:t xml:space="preserve"> approach is similar to Rel. 15 EN-DC power control design.</w:t>
      </w:r>
      <w:r w:rsidRPr="00A85F04">
        <w:t xml:space="preserve"> </w:t>
      </w:r>
      <w:r>
        <w:t xml:space="preserve">The UE’s processing time on the MCG can be slowed down by increasing the its minimum K1/K2 values. These values can be exchanged between the two </w:t>
      </w:r>
      <w:proofErr w:type="spellStart"/>
      <w:r>
        <w:t>gNBs</w:t>
      </w:r>
      <w:proofErr w:type="spellEnd"/>
      <w:r>
        <w:t xml:space="preserve"> semi-statically and used as an input to their scheduling algorithm. This approach also requires enabling information </w:t>
      </w:r>
      <w:r>
        <w:lastRenderedPageBreak/>
        <w:t>exchange between the two cell groups; however, the information can be exchanged at a lower rate as compared to the previous schemes depending on the processing timeline of the MCG.</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9863598" w:rsidR="00DA24FA" w:rsidRDefault="004F69E9" w:rsidP="004F69E9">
      <w:pPr>
        <w:pStyle w:val="Caption"/>
        <w:jc w:val="both"/>
        <w:rPr>
          <w:b w:val="0"/>
          <w:szCs w:val="22"/>
        </w:rPr>
      </w:pPr>
      <w:bookmarkStart w:id="3" w:name="_Ref450583331"/>
      <w:bookmarkEnd w:id="3"/>
      <w:r>
        <w:rPr>
          <w:b w:val="0"/>
          <w:szCs w:val="22"/>
        </w:rPr>
        <w:t xml:space="preserve">This contribution paper discussed a power control scheme applicable to Rel. 16 NR-NR dual connectivity under the synchronous and asynchronous deployments. Based on the discussions in the paper, the following </w:t>
      </w:r>
      <w:r w:rsidR="00EA7959">
        <w:rPr>
          <w:b w:val="0"/>
          <w:szCs w:val="22"/>
        </w:rPr>
        <w:t>proposals are made</w:t>
      </w:r>
      <w:r>
        <w:rPr>
          <w:b w:val="0"/>
          <w:szCs w:val="22"/>
        </w:rPr>
        <w:t>:</w:t>
      </w:r>
    </w:p>
    <w:p w14:paraId="786743C2" w14:textId="34489736" w:rsidR="009D02AC" w:rsidRPr="00B57D28" w:rsidRDefault="009D02AC" w:rsidP="00C26D51">
      <w:pPr>
        <w:jc w:val="both"/>
        <w:rPr>
          <w:b/>
          <w:szCs w:val="22"/>
        </w:rPr>
      </w:pPr>
      <w:r w:rsidRPr="009D02AC">
        <w:rPr>
          <w:b/>
          <w:szCs w:val="22"/>
        </w:rPr>
        <w:t>Proposal 1: Due to the extra complication for UE implementation as well as lack of performance benefit justification, dynamic power sharing should not be supported for Rel. 16 NN-DC.</w:t>
      </w:r>
    </w:p>
    <w:p w14:paraId="4E51C4BA" w14:textId="77777777" w:rsidR="00DD2952" w:rsidRDefault="00DD2952" w:rsidP="00DD2952">
      <w:pPr>
        <w:jc w:val="both"/>
        <w:rPr>
          <w:b/>
        </w:rPr>
      </w:pPr>
      <w:r w:rsidRPr="007E0316">
        <w:rPr>
          <w:b/>
        </w:rPr>
        <w:t xml:space="preserve">Proposal </w:t>
      </w:r>
      <w:r>
        <w:rPr>
          <w:b/>
        </w:rPr>
        <w:t>2</w:t>
      </w:r>
      <w:r w:rsidRPr="007E0316">
        <w:rPr>
          <w:b/>
        </w:rPr>
        <w:t xml:space="preserve">: </w:t>
      </w:r>
      <w:r>
        <w:rPr>
          <w:b/>
        </w:rPr>
        <w:t>For uplink power control of synchronous NN-DC, the UE is configured with:</w:t>
      </w:r>
    </w:p>
    <w:p w14:paraId="31F4EFA9" w14:textId="77777777" w:rsidR="00DD2952" w:rsidRPr="00D86F52" w:rsidRDefault="00DD2952" w:rsidP="00DD2952">
      <w:pPr>
        <w:pStyle w:val="ListParagraph"/>
        <w:numPr>
          <w:ilvl w:val="0"/>
          <w:numId w:val="9"/>
        </w:numPr>
        <w:jc w:val="both"/>
        <w:rPr>
          <w:rFonts w:ascii="Times New Roman" w:hAnsi="Times New Roman"/>
          <w:b/>
          <w:sz w:val="20"/>
        </w:rPr>
      </w:pPr>
      <w:r w:rsidRPr="00D86F52">
        <w:rPr>
          <w:rFonts w:ascii="Times New Roman" w:hAnsi="Times New Roman"/>
          <w:b/>
          <w:sz w:val="20"/>
        </w:rPr>
        <w:t>A UE should be configured with a set of maximum allowed powers for each cell group such that P_NR1 + P_NR2 &lt;= P_NN.</w:t>
      </w:r>
    </w:p>
    <w:p w14:paraId="1C9AE2F0" w14:textId="5FDDCC01" w:rsidR="00DD2952" w:rsidRPr="00D86F52" w:rsidRDefault="00DD2952" w:rsidP="00DD2952">
      <w:pPr>
        <w:pStyle w:val="ListParagraph"/>
        <w:numPr>
          <w:ilvl w:val="0"/>
          <w:numId w:val="9"/>
        </w:numPr>
        <w:jc w:val="both"/>
        <w:rPr>
          <w:rFonts w:ascii="Times New Roman" w:hAnsi="Times New Roman"/>
          <w:b/>
          <w:sz w:val="20"/>
        </w:rPr>
      </w:pPr>
      <w:r w:rsidRPr="00D86F52">
        <w:rPr>
          <w:rFonts w:ascii="Times New Roman" w:hAnsi="Times New Roman"/>
          <w:b/>
          <w:sz w:val="20"/>
        </w:rPr>
        <w:t xml:space="preserve">Additionally, the UE can be configured with P_NR1’ and P_NR2’, which can each be equal to P_NN. In other words, P_NR1’+P_NR2’ &lt; = &gt; P_NN. </w:t>
      </w:r>
    </w:p>
    <w:p w14:paraId="7D00E208" w14:textId="77777777" w:rsidR="00DD2952" w:rsidRDefault="00DD2952" w:rsidP="00DD2952">
      <w:pPr>
        <w:jc w:val="both"/>
        <w:rPr>
          <w:b/>
        </w:rPr>
      </w:pPr>
    </w:p>
    <w:p w14:paraId="25EC4CBC" w14:textId="77777777" w:rsidR="00DD2952" w:rsidRPr="009F51E5" w:rsidRDefault="00DD2952" w:rsidP="00DD2952">
      <w:pPr>
        <w:jc w:val="both"/>
        <w:rPr>
          <w:b/>
        </w:rPr>
      </w:pPr>
      <w:r w:rsidRPr="009F51E5">
        <w:rPr>
          <w:b/>
        </w:rPr>
        <w:t>From the UE side, the following behavior is expected:</w:t>
      </w:r>
    </w:p>
    <w:p w14:paraId="75489DA3" w14:textId="5AE836F3" w:rsidR="00DD2952" w:rsidRPr="009F51E5" w:rsidRDefault="00DD2952" w:rsidP="00DD2952">
      <w:pPr>
        <w:pStyle w:val="ListParagraph"/>
        <w:numPr>
          <w:ilvl w:val="0"/>
          <w:numId w:val="9"/>
        </w:numPr>
        <w:jc w:val="both"/>
        <w:rPr>
          <w:rFonts w:ascii="Times New Roman" w:hAnsi="Times New Roman"/>
          <w:b/>
          <w:sz w:val="20"/>
        </w:rPr>
      </w:pPr>
      <w:r w:rsidRPr="009F51E5">
        <w:rPr>
          <w:rFonts w:ascii="Times New Roman" w:hAnsi="Times New Roman"/>
          <w:b/>
          <w:sz w:val="20"/>
        </w:rPr>
        <w:t>For the uplink transmission in cell group 1, the UE checks the semi-statically configured direction of the overlapping symbols of all serving cells of cell group 2</w:t>
      </w:r>
      <w:r>
        <w:rPr>
          <w:rFonts w:ascii="Times New Roman" w:hAnsi="Times New Roman"/>
          <w:b/>
          <w:sz w:val="20"/>
        </w:rPr>
        <w:t xml:space="preserve"> and vice versa</w:t>
      </w:r>
      <w:r w:rsidRPr="009F51E5">
        <w:rPr>
          <w:rFonts w:ascii="Times New Roman" w:hAnsi="Times New Roman"/>
          <w:b/>
          <w:sz w:val="20"/>
        </w:rPr>
        <w:t xml:space="preserve">. </w:t>
      </w:r>
      <w:r>
        <w:rPr>
          <w:rFonts w:ascii="Times New Roman" w:hAnsi="Times New Roman"/>
          <w:b/>
          <w:sz w:val="20"/>
        </w:rPr>
        <w:t xml:space="preserve">The UE chooses the maximum power allowed per cell group based on whether its uplink transmission collides with only semi-static ‘DL’ symbols, or with semi-static ‘UL’ and ‘flexible’ symbols. </w:t>
      </w:r>
      <w:r w:rsidRPr="009F51E5">
        <w:rPr>
          <w:rFonts w:ascii="Times New Roman" w:hAnsi="Times New Roman"/>
          <w:b/>
          <w:sz w:val="20"/>
        </w:rPr>
        <w:t xml:space="preserve"> </w:t>
      </w: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6335281A" w14:textId="79F897E1" w:rsidR="00335267" w:rsidRPr="00335267" w:rsidRDefault="00335267" w:rsidP="00335267">
      <w:pPr>
        <w:jc w:val="both"/>
        <w:rPr>
          <w:b/>
          <w:lang w:val="en-GB"/>
        </w:rPr>
      </w:pPr>
      <w:r w:rsidRPr="00335267">
        <w:rPr>
          <w:b/>
          <w:lang w:val="en-GB"/>
        </w:rPr>
        <w:t>[1] R1-190</w:t>
      </w:r>
      <w:r w:rsidR="009962D4">
        <w:rPr>
          <w:b/>
          <w:lang w:val="en-GB"/>
        </w:rPr>
        <w:t>7891</w:t>
      </w:r>
      <w:r w:rsidRPr="00335267">
        <w:rPr>
          <w:b/>
          <w:lang w:val="en-GB"/>
        </w:rPr>
        <w:t xml:space="preserve">, “Feature lead summary </w:t>
      </w:r>
      <w:r w:rsidR="009962D4">
        <w:rPr>
          <w:b/>
          <w:lang w:val="en-GB"/>
        </w:rPr>
        <w:t xml:space="preserve">#2 </w:t>
      </w:r>
      <w:r w:rsidR="009962D4" w:rsidRPr="009962D4">
        <w:rPr>
          <w:b/>
          <w:lang w:val="en-GB"/>
        </w:rPr>
        <w:t>for Uplink Power Control for Supporting NN-DC</w:t>
      </w:r>
      <w:r w:rsidRPr="00335267">
        <w:rPr>
          <w:b/>
          <w:lang w:val="en-GB"/>
        </w:rPr>
        <w:t>,” Intel Corp.</w:t>
      </w:r>
    </w:p>
    <w:p w14:paraId="26E152C5" w14:textId="77777777" w:rsidR="004F153B" w:rsidRDefault="004F153B" w:rsidP="004F69E9">
      <w:pPr>
        <w:jc w:val="both"/>
        <w:rPr>
          <w:b/>
        </w:rPr>
      </w:pPr>
    </w:p>
    <w:p w14:paraId="6C22B6F0" w14:textId="77777777" w:rsidR="004F69E9" w:rsidRPr="004F69E9" w:rsidRDefault="004F69E9" w:rsidP="004F69E9"/>
    <w:sectPr w:rsidR="004F69E9" w:rsidRPr="004F69E9"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2385E" w14:textId="77777777" w:rsidR="006E6F2F" w:rsidRDefault="006E6F2F">
      <w:r>
        <w:separator/>
      </w:r>
    </w:p>
  </w:endnote>
  <w:endnote w:type="continuationSeparator" w:id="0">
    <w:p w14:paraId="4D7E4118" w14:textId="77777777" w:rsidR="006E6F2F" w:rsidRDefault="006E6F2F">
      <w:r>
        <w:continuationSeparator/>
      </w:r>
    </w:p>
  </w:endnote>
  <w:endnote w:type="continuationNotice" w:id="1">
    <w:p w14:paraId="6E3411F9" w14:textId="77777777" w:rsidR="006E6F2F" w:rsidRDefault="006E6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63766" w14:textId="77777777" w:rsidR="006E6F2F" w:rsidRDefault="006E6F2F">
      <w:r>
        <w:separator/>
      </w:r>
    </w:p>
  </w:footnote>
  <w:footnote w:type="continuationSeparator" w:id="0">
    <w:p w14:paraId="7345C29F" w14:textId="77777777" w:rsidR="006E6F2F" w:rsidRDefault="006E6F2F">
      <w:r>
        <w:continuationSeparator/>
      </w:r>
    </w:p>
  </w:footnote>
  <w:footnote w:type="continuationNotice" w:id="1">
    <w:p w14:paraId="2E489576" w14:textId="77777777" w:rsidR="006E6F2F" w:rsidRDefault="006E6F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7D678E"/>
    <w:multiLevelType w:val="hybridMultilevel"/>
    <w:tmpl w:val="FF1C9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3"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8"/>
    <w:lvlOverride w:ilvl="0">
      <w:startOverride w:val="1"/>
    </w:lvlOverride>
  </w:num>
  <w:num w:numId="4">
    <w:abstractNumId w:val="16"/>
  </w:num>
  <w:num w:numId="5">
    <w:abstractNumId w:val="15"/>
  </w:num>
  <w:num w:numId="6">
    <w:abstractNumId w:val="6"/>
  </w:num>
  <w:num w:numId="7">
    <w:abstractNumId w:val="4"/>
  </w:num>
  <w:num w:numId="8">
    <w:abstractNumId w:val="12"/>
  </w:num>
  <w:num w:numId="9">
    <w:abstractNumId w:val="9"/>
  </w:num>
  <w:num w:numId="10">
    <w:abstractNumId w:val="13"/>
  </w:num>
  <w:num w:numId="11">
    <w:abstractNumId w:val="14"/>
  </w:num>
  <w:num w:numId="12">
    <w:abstractNumId w:val="11"/>
  </w:num>
  <w:num w:numId="13">
    <w:abstractNumId w:val="7"/>
  </w:num>
  <w:num w:numId="14">
    <w:abstractNumId w:val="1"/>
  </w:num>
  <w:num w:numId="15">
    <w:abstractNumId w:val="10"/>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E81"/>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1F"/>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8D0"/>
    <w:rsid w:val="00032A0C"/>
    <w:rsid w:val="0003429E"/>
    <w:rsid w:val="00034408"/>
    <w:rsid w:val="000344A6"/>
    <w:rsid w:val="00034581"/>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849"/>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A8"/>
    <w:rsid w:val="000A1AD3"/>
    <w:rsid w:val="000A1D49"/>
    <w:rsid w:val="000A23E5"/>
    <w:rsid w:val="000A26E4"/>
    <w:rsid w:val="000A2D70"/>
    <w:rsid w:val="000A30DE"/>
    <w:rsid w:val="000A3132"/>
    <w:rsid w:val="000A31F7"/>
    <w:rsid w:val="000A32AA"/>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09"/>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40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8D6"/>
    <w:rsid w:val="00127BC5"/>
    <w:rsid w:val="00127DE2"/>
    <w:rsid w:val="00127F28"/>
    <w:rsid w:val="0013016D"/>
    <w:rsid w:val="00130714"/>
    <w:rsid w:val="00130790"/>
    <w:rsid w:val="00130953"/>
    <w:rsid w:val="00130BBD"/>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20"/>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FD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0F2"/>
    <w:rsid w:val="00193987"/>
    <w:rsid w:val="00194955"/>
    <w:rsid w:val="0019573B"/>
    <w:rsid w:val="0019592C"/>
    <w:rsid w:val="00195C24"/>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6F63"/>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2904"/>
    <w:rsid w:val="002130BD"/>
    <w:rsid w:val="00213851"/>
    <w:rsid w:val="00214148"/>
    <w:rsid w:val="002147DF"/>
    <w:rsid w:val="00214E0D"/>
    <w:rsid w:val="00214EE1"/>
    <w:rsid w:val="0021512E"/>
    <w:rsid w:val="002152CA"/>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4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267"/>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5392"/>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19F"/>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2D9"/>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BC6"/>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2FF"/>
    <w:rsid w:val="0049757C"/>
    <w:rsid w:val="00497C03"/>
    <w:rsid w:val="00497D6A"/>
    <w:rsid w:val="00497EF8"/>
    <w:rsid w:val="004A01E1"/>
    <w:rsid w:val="004A0A72"/>
    <w:rsid w:val="004A0C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53B"/>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6F0F"/>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113"/>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C7FF2"/>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E7CE0"/>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132A"/>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6F2F"/>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CE6"/>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3CA"/>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51B"/>
    <w:rsid w:val="007B073B"/>
    <w:rsid w:val="007B0A80"/>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045"/>
    <w:rsid w:val="00846106"/>
    <w:rsid w:val="00846467"/>
    <w:rsid w:val="00846661"/>
    <w:rsid w:val="00846AC4"/>
    <w:rsid w:val="00846BEE"/>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145"/>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2D1"/>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18"/>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91"/>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C5C"/>
    <w:rsid w:val="009962D4"/>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1E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4E7"/>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68"/>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C50"/>
    <w:rsid w:val="00AF0FFE"/>
    <w:rsid w:val="00AF1414"/>
    <w:rsid w:val="00AF15C3"/>
    <w:rsid w:val="00AF1730"/>
    <w:rsid w:val="00AF19CD"/>
    <w:rsid w:val="00AF1F06"/>
    <w:rsid w:val="00AF25F3"/>
    <w:rsid w:val="00AF27C1"/>
    <w:rsid w:val="00AF288E"/>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032"/>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1D9"/>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20F"/>
    <w:rsid w:val="00B574BA"/>
    <w:rsid w:val="00B57861"/>
    <w:rsid w:val="00B57CD1"/>
    <w:rsid w:val="00B57D28"/>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7C4"/>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914"/>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C"/>
    <w:rsid w:val="00C2544D"/>
    <w:rsid w:val="00C25803"/>
    <w:rsid w:val="00C25B53"/>
    <w:rsid w:val="00C26871"/>
    <w:rsid w:val="00C2695A"/>
    <w:rsid w:val="00C26B69"/>
    <w:rsid w:val="00C26D51"/>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7F4"/>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2C7A"/>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2EFA"/>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27"/>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6F52"/>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952"/>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335"/>
    <w:rsid w:val="00DE279F"/>
    <w:rsid w:val="00DE28F0"/>
    <w:rsid w:val="00DE2D4B"/>
    <w:rsid w:val="00DE2E1E"/>
    <w:rsid w:val="00DE2F6C"/>
    <w:rsid w:val="00DE3DE4"/>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02C"/>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A4"/>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4D04"/>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4D3B"/>
    <w:rsid w:val="00EA5029"/>
    <w:rsid w:val="00EA5335"/>
    <w:rsid w:val="00EA5372"/>
    <w:rsid w:val="00EA626F"/>
    <w:rsid w:val="00EA630B"/>
    <w:rsid w:val="00EA6D78"/>
    <w:rsid w:val="00EA6E29"/>
    <w:rsid w:val="00EA7721"/>
    <w:rsid w:val="00EA7959"/>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662"/>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A73"/>
    <w:rsid w:val="00F71DC2"/>
    <w:rsid w:val="00F71F79"/>
    <w:rsid w:val="00F720DC"/>
    <w:rsid w:val="00F720EE"/>
    <w:rsid w:val="00F721A1"/>
    <w:rsid w:val="00F724E3"/>
    <w:rsid w:val="00F725E5"/>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2C5D"/>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HR33RHYHUWRF-4-15432</_dlc_DocId>
    <_dlc_DocIdUrl xmlns="c06861ca-3f08-4d07-bff7-bb15bac121f4">
      <Url>https://projects.qualcomm.com/sites/pentari/_layouts/15/DocIdRedir.aspx?ID=HR33RHYHUWRF-4-15432</Url>
      <Description>HR33RHYHUWRF-4-15432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06452BE-CDDC-4897-95F1-27A5859E3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6</Pages>
  <Words>2895</Words>
  <Characters>16503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2</cp:revision>
  <cp:lastPrinted>2014-11-07T05:38:00Z</cp:lastPrinted>
  <dcterms:created xsi:type="dcterms:W3CDTF">2019-08-17T04:16:00Z</dcterms:created>
  <dcterms:modified xsi:type="dcterms:W3CDTF">2019-08-17T04:16:00Z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bcc82a6c-7397-40f3-947a-1f099c04c5c8</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